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E19368" w14:textId="199187C9" w:rsidR="00C67EA4" w:rsidRPr="00C67EA4" w:rsidRDefault="00C67EA4" w:rsidP="00C67EA4">
      <w:pPr>
        <w:pStyle w:val="a4"/>
        <w:rPr>
          <w:rFonts w:eastAsia="MS Mincho" w:cs="Arial"/>
          <w:bCs/>
        </w:rPr>
      </w:pPr>
      <w:r w:rsidRPr="00C67EA4">
        <w:rPr>
          <w:rFonts w:eastAsia="MS Mincho" w:cs="Arial"/>
          <w:bCs/>
        </w:rPr>
        <w:t>3GPP TSG RAN WG1 Meeting #96bis</w:t>
      </w:r>
      <w:r w:rsidRPr="00C67EA4">
        <w:rPr>
          <w:rFonts w:eastAsia="MS Mincho" w:cs="Arial"/>
          <w:bCs/>
        </w:rPr>
        <w:tab/>
      </w:r>
      <w:r w:rsidRPr="00C67EA4">
        <w:rPr>
          <w:rFonts w:eastAsia="MS Mincho" w:cs="Arial"/>
          <w:bCs/>
        </w:rPr>
        <w:tab/>
        <w:t xml:space="preserve">  </w:t>
      </w:r>
      <w:r>
        <w:rPr>
          <w:rFonts w:eastAsia="MS Mincho" w:cs="Arial"/>
          <w:bCs/>
        </w:rPr>
        <w:tab/>
      </w:r>
      <w:r>
        <w:rPr>
          <w:rFonts w:eastAsia="MS Mincho" w:cs="Arial"/>
          <w:bCs/>
        </w:rPr>
        <w:tab/>
      </w:r>
      <w:r>
        <w:rPr>
          <w:rFonts w:eastAsia="MS Mincho" w:cs="Arial"/>
          <w:bCs/>
        </w:rPr>
        <w:tab/>
      </w:r>
      <w:r>
        <w:rPr>
          <w:rFonts w:eastAsia="MS Mincho" w:cs="Arial"/>
          <w:bCs/>
        </w:rPr>
        <w:tab/>
      </w:r>
      <w:r>
        <w:rPr>
          <w:rFonts w:eastAsia="MS Mincho" w:cs="Arial"/>
          <w:bCs/>
        </w:rPr>
        <w:tab/>
      </w:r>
      <w:r w:rsidRPr="00C67EA4">
        <w:rPr>
          <w:rFonts w:eastAsia="MS Mincho" w:cs="Arial"/>
          <w:bCs/>
        </w:rPr>
        <w:t>R1-1904070</w:t>
      </w:r>
    </w:p>
    <w:p w14:paraId="1FC3F37F" w14:textId="28E0E4EF" w:rsidR="00134F4C" w:rsidRDefault="00C67EA4" w:rsidP="00C67EA4">
      <w:pPr>
        <w:pStyle w:val="a4"/>
        <w:rPr>
          <w:rFonts w:eastAsia="MS Mincho" w:cs="Arial"/>
          <w:bCs/>
        </w:rPr>
      </w:pPr>
      <w:r w:rsidRPr="00C67EA4">
        <w:rPr>
          <w:rFonts w:eastAsia="MS Mincho" w:cs="Arial"/>
          <w:bCs/>
        </w:rPr>
        <w:t>Xi’an, China, 8th – 12th April, 2019</w:t>
      </w:r>
    </w:p>
    <w:p w14:paraId="56BB6ABB" w14:textId="77777777" w:rsidR="00C67EA4" w:rsidRPr="0082631B" w:rsidRDefault="00C67EA4" w:rsidP="00C67EA4">
      <w:pPr>
        <w:pStyle w:val="a4"/>
        <w:rPr>
          <w:rFonts w:cs="Arial"/>
        </w:rPr>
      </w:pPr>
    </w:p>
    <w:p w14:paraId="6D46A0AE" w14:textId="77777777" w:rsidR="00367877" w:rsidRPr="0082631B" w:rsidRDefault="00367877" w:rsidP="00367877">
      <w:pPr>
        <w:pStyle w:val="a4"/>
        <w:tabs>
          <w:tab w:val="left" w:pos="1800"/>
        </w:tabs>
        <w:ind w:left="1800" w:hanging="1800"/>
        <w:rPr>
          <w:rFonts w:eastAsia="宋体" w:cs="Arial"/>
          <w:lang w:eastAsia="zh-CN"/>
        </w:rPr>
      </w:pPr>
      <w:r w:rsidRPr="0082631B">
        <w:rPr>
          <w:rFonts w:cs="Arial"/>
        </w:rPr>
        <w:t>Source:</w:t>
      </w:r>
      <w:r w:rsidRPr="0082631B">
        <w:rPr>
          <w:rFonts w:cs="Arial"/>
        </w:rPr>
        <w:tab/>
      </w:r>
      <w:r w:rsidR="001C76AC">
        <w:rPr>
          <w:rFonts w:eastAsia="宋体" w:cs="Arial" w:hint="eastAsia"/>
          <w:lang w:eastAsia="zh-CN"/>
        </w:rPr>
        <w:t>vivo</w:t>
      </w:r>
    </w:p>
    <w:p w14:paraId="498F2F71" w14:textId="12D9AE90" w:rsidR="000D7F0F" w:rsidRPr="0082631B" w:rsidRDefault="00367877" w:rsidP="00453995">
      <w:pPr>
        <w:pStyle w:val="a4"/>
        <w:tabs>
          <w:tab w:val="left" w:pos="1800"/>
        </w:tabs>
        <w:ind w:left="1837" w:hangingChars="915" w:hanging="1837"/>
        <w:rPr>
          <w:rFonts w:eastAsia="宋体" w:cs="Arial"/>
          <w:lang w:eastAsia="zh-CN"/>
        </w:rPr>
      </w:pPr>
      <w:r w:rsidRPr="0082631B">
        <w:rPr>
          <w:rFonts w:cs="Arial"/>
        </w:rPr>
        <w:t>Title:</w:t>
      </w:r>
      <w:r w:rsidRPr="0082631B">
        <w:rPr>
          <w:rFonts w:cs="Arial"/>
        </w:rPr>
        <w:tab/>
      </w:r>
      <w:r w:rsidR="00134F4C" w:rsidRPr="00134F4C">
        <w:rPr>
          <w:rFonts w:eastAsia="宋体" w:cs="Arial"/>
          <w:lang w:eastAsia="zh-CN"/>
        </w:rPr>
        <w:t>Discussion on extension of SSBs for inter-IAB-node discovery and measurements</w:t>
      </w:r>
    </w:p>
    <w:p w14:paraId="151BE230" w14:textId="4A66FA6D" w:rsidR="00367877" w:rsidRPr="0082631B" w:rsidRDefault="00367877" w:rsidP="00367877">
      <w:pPr>
        <w:pStyle w:val="a4"/>
        <w:tabs>
          <w:tab w:val="left" w:pos="1800"/>
        </w:tabs>
        <w:rPr>
          <w:rFonts w:eastAsia="宋体" w:cs="Arial"/>
          <w:lang w:eastAsia="zh-CN"/>
        </w:rPr>
      </w:pPr>
      <w:r w:rsidRPr="0082631B">
        <w:rPr>
          <w:rFonts w:cs="Arial"/>
        </w:rPr>
        <w:t>Agenda Item:</w:t>
      </w:r>
      <w:r w:rsidRPr="0082631B">
        <w:rPr>
          <w:rFonts w:cs="Arial"/>
        </w:rPr>
        <w:tab/>
      </w:r>
      <w:r w:rsidR="007E528C" w:rsidRPr="007E528C">
        <w:rPr>
          <w:rFonts w:eastAsia="宋体" w:cs="Arial"/>
          <w:lang w:eastAsia="zh-CN"/>
        </w:rPr>
        <w:t>7.</w:t>
      </w:r>
      <w:r w:rsidR="00BF21D5">
        <w:rPr>
          <w:rFonts w:eastAsia="宋体" w:cs="Arial"/>
          <w:lang w:eastAsia="zh-CN"/>
        </w:rPr>
        <w:t>2.3</w:t>
      </w:r>
      <w:r w:rsidR="00C67EA4">
        <w:rPr>
          <w:rFonts w:eastAsia="宋体" w:cs="Arial"/>
          <w:lang w:eastAsia="zh-CN"/>
        </w:rPr>
        <w:t>.1</w:t>
      </w:r>
    </w:p>
    <w:p w14:paraId="69C100A2" w14:textId="77777777" w:rsidR="00367877" w:rsidRPr="00C10680" w:rsidRDefault="00367877" w:rsidP="00367877">
      <w:pPr>
        <w:pStyle w:val="a4"/>
        <w:tabs>
          <w:tab w:val="left" w:pos="1800"/>
        </w:tabs>
        <w:rPr>
          <w:rFonts w:eastAsia="宋体" w:cs="Arial"/>
          <w:sz w:val="24"/>
          <w:lang w:eastAsia="zh-CN"/>
        </w:rPr>
      </w:pPr>
      <w:r w:rsidRPr="0082631B">
        <w:rPr>
          <w:rFonts w:cs="Arial"/>
        </w:rPr>
        <w:t>Document for:</w:t>
      </w:r>
      <w:r w:rsidRPr="0082631B">
        <w:rPr>
          <w:rFonts w:cs="Arial"/>
        </w:rPr>
        <w:tab/>
        <w:t>Discussion</w:t>
      </w:r>
      <w:r w:rsidRPr="0082631B">
        <w:rPr>
          <w:rFonts w:eastAsia="宋体" w:cs="Arial"/>
          <w:lang w:eastAsia="zh-CN"/>
        </w:rPr>
        <w:t xml:space="preserve"> and Decision</w:t>
      </w:r>
    </w:p>
    <w:p w14:paraId="2C4245B5" w14:textId="60578F60" w:rsidR="00E807E7" w:rsidRDefault="00E807E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0" w:name="OLE_LINK13"/>
      <w:bookmarkStart w:id="1" w:name="OLE_LINK14"/>
      <w:r w:rsidRPr="006C7617">
        <w:rPr>
          <w:rFonts w:ascii="Arial" w:hAnsi="Arial" w:cs="Times New Roman" w:hint="eastAsia"/>
          <w:b w:val="0"/>
          <w:bCs w:val="0"/>
          <w:kern w:val="0"/>
          <w:sz w:val="36"/>
          <w:szCs w:val="20"/>
          <w:lang w:val="en-GB" w:eastAsia="en-GB"/>
        </w:rPr>
        <w:t>Introduction</w:t>
      </w:r>
    </w:p>
    <w:p w14:paraId="5385EE82" w14:textId="77777777" w:rsidR="004B7BC7" w:rsidRDefault="00547A31" w:rsidP="00622D80">
      <w:pPr>
        <w:rPr>
          <w:sz w:val="20"/>
          <w:szCs w:val="20"/>
        </w:rPr>
      </w:pPr>
      <w:r>
        <w:rPr>
          <w:sz w:val="20"/>
          <w:szCs w:val="20"/>
        </w:rPr>
        <w:t xml:space="preserve">It is agreed to specify the following aspects for </w:t>
      </w:r>
      <w:r w:rsidR="004B7BC7">
        <w:rPr>
          <w:sz w:val="20"/>
          <w:szCs w:val="20"/>
        </w:rPr>
        <w:t>extension of the SSBs for inter-IAB-node discovery and measurements,</w:t>
      </w:r>
    </w:p>
    <w:p w14:paraId="050A5A85" w14:textId="77777777" w:rsidR="004B7BC7" w:rsidRDefault="004B7BC7" w:rsidP="009C0CCF">
      <w:pPr>
        <w:numPr>
          <w:ilvl w:val="0"/>
          <w:numId w:val="19"/>
        </w:numPr>
        <w:overflowPunct w:val="0"/>
        <w:autoSpaceDE w:val="0"/>
        <w:autoSpaceDN w:val="0"/>
        <w:adjustRightInd w:val="0"/>
        <w:spacing w:beforeLines="60" w:before="144" w:afterLines="60" w:after="144"/>
        <w:textAlignment w:val="baseline"/>
        <w:rPr>
          <w:rFonts w:eastAsia="Yu Mincho"/>
          <w:sz w:val="20"/>
          <w:szCs w:val="20"/>
          <w:lang w:val="en-GB"/>
        </w:rPr>
      </w:pPr>
      <w:r w:rsidRPr="004B7BC7">
        <w:rPr>
          <w:rFonts w:eastAsia="Yu Mincho"/>
          <w:sz w:val="20"/>
          <w:szCs w:val="20"/>
          <w:lang w:val="en-GB"/>
        </w:rPr>
        <w:t xml:space="preserve">Specification of extensions to Rel. 15 to support the use of SSBs orthogonal to SSBs used for UEs (via TDM and/or FDM), for inter-IAB-node discovery and measurements, including additional SMTC periodicities and time-domain mapping of SSB locations (e.g. enable muting patterns to deal with half-duplex constraint). </w:t>
      </w:r>
    </w:p>
    <w:p w14:paraId="1BB50BDD" w14:textId="00643C31" w:rsidR="00D36C49" w:rsidRPr="00D36C49" w:rsidRDefault="00D36C49" w:rsidP="00D36C49">
      <w:pPr>
        <w:overflowPunct w:val="0"/>
        <w:autoSpaceDE w:val="0"/>
        <w:autoSpaceDN w:val="0"/>
        <w:adjustRightInd w:val="0"/>
        <w:spacing w:beforeLines="60" w:before="144" w:afterLines="60" w:after="144"/>
        <w:textAlignment w:val="baseline"/>
        <w:rPr>
          <w:rFonts w:eastAsia="Yu Mincho"/>
          <w:sz w:val="20"/>
          <w:szCs w:val="20"/>
          <w:lang w:val="en-GB"/>
        </w:rPr>
      </w:pPr>
      <w:r w:rsidRPr="00D36C49">
        <w:rPr>
          <w:rFonts w:eastAsia="Yu Mincho"/>
          <w:sz w:val="20"/>
          <w:szCs w:val="20"/>
          <w:lang w:val="en-GB"/>
        </w:rPr>
        <w:t xml:space="preserve">In </w:t>
      </w:r>
      <w:r w:rsidR="00000DA0">
        <w:rPr>
          <w:rFonts w:eastAsia="Yu Mincho"/>
          <w:sz w:val="20"/>
          <w:szCs w:val="20"/>
          <w:lang w:val="en-GB"/>
        </w:rPr>
        <w:t>RAN1</w:t>
      </w:r>
      <w:r w:rsidRPr="00D36C49">
        <w:rPr>
          <w:rFonts w:eastAsia="Yu Mincho"/>
          <w:sz w:val="20"/>
          <w:szCs w:val="20"/>
          <w:lang w:val="en-GB"/>
        </w:rPr>
        <w:t xml:space="preserve"> Adhoc#1901, it is agreed that,</w:t>
      </w:r>
    </w:p>
    <w:p w14:paraId="10175C02" w14:textId="77777777" w:rsidR="00D36C49" w:rsidRPr="00D36C49" w:rsidRDefault="00D36C49" w:rsidP="00D36C49">
      <w:pPr>
        <w:rPr>
          <w:rFonts w:ascii="Times" w:eastAsia="Batang" w:hAnsi="Times"/>
          <w:sz w:val="20"/>
          <w:szCs w:val="20"/>
          <w:lang w:val="en-GB" w:eastAsia="x-none"/>
        </w:rPr>
      </w:pPr>
      <w:r w:rsidRPr="00D36C49">
        <w:rPr>
          <w:rFonts w:ascii="Times" w:eastAsia="Batang" w:hAnsi="Times"/>
          <w:sz w:val="20"/>
          <w:szCs w:val="20"/>
          <w:highlight w:val="green"/>
          <w:lang w:val="en-GB" w:eastAsia="x-none"/>
        </w:rPr>
        <w:t>Agreements</w:t>
      </w:r>
      <w:r w:rsidRPr="00D36C49">
        <w:rPr>
          <w:rFonts w:ascii="Times" w:eastAsia="Batang" w:hAnsi="Times"/>
          <w:sz w:val="20"/>
          <w:szCs w:val="20"/>
          <w:lang w:val="en-GB" w:eastAsia="x-none"/>
        </w:rPr>
        <w:t>:</w:t>
      </w:r>
    </w:p>
    <w:p w14:paraId="6B316CA6" w14:textId="77777777" w:rsidR="00D36C49" w:rsidRPr="00D36C49" w:rsidRDefault="00D36C49" w:rsidP="00D36C49">
      <w:pPr>
        <w:numPr>
          <w:ilvl w:val="0"/>
          <w:numId w:val="25"/>
        </w:numPr>
        <w:rPr>
          <w:rFonts w:ascii="Times" w:eastAsia="Batang" w:hAnsi="Times"/>
          <w:sz w:val="20"/>
          <w:szCs w:val="20"/>
          <w:lang w:val="en-GB"/>
        </w:rPr>
      </w:pPr>
      <w:r w:rsidRPr="00D36C49">
        <w:rPr>
          <w:rFonts w:ascii="Times" w:eastAsia="Batang" w:hAnsi="Times"/>
          <w:sz w:val="20"/>
          <w:szCs w:val="20"/>
          <w:lang w:val="en-GB"/>
        </w:rPr>
        <w:t>SSB transmission configuration information (i.e. the necessary information for the DU to determine when to transmit SSB) and SSB reception configuration information (i.e. the necessary information for the MT to determine when to search for SSB) for IAB inter-node measurements are determined in a centralized manner, i.e. not locally by the IAB node.</w:t>
      </w:r>
    </w:p>
    <w:p w14:paraId="622217C9" w14:textId="77777777" w:rsidR="00D36C49" w:rsidRPr="00D36C49" w:rsidRDefault="00D36C49" w:rsidP="00D36C49">
      <w:pPr>
        <w:numPr>
          <w:ilvl w:val="0"/>
          <w:numId w:val="25"/>
        </w:numPr>
        <w:rPr>
          <w:rFonts w:ascii="Times" w:eastAsia="Batang" w:hAnsi="Times"/>
          <w:sz w:val="20"/>
          <w:szCs w:val="20"/>
          <w:lang w:val="en-GB"/>
        </w:rPr>
      </w:pPr>
      <w:r w:rsidRPr="00D36C49">
        <w:rPr>
          <w:rFonts w:ascii="Times" w:eastAsia="Batang" w:hAnsi="Times"/>
          <w:sz w:val="20"/>
          <w:szCs w:val="20"/>
          <w:lang w:val="en-GB"/>
        </w:rPr>
        <w:t>An IAB node is provided with configuration of SSB transmission and reception information for IAB inter-node measurements.</w:t>
      </w:r>
    </w:p>
    <w:p w14:paraId="50F7610C" w14:textId="77777777" w:rsidR="00D36C49" w:rsidRPr="00D36C49" w:rsidRDefault="00D36C49" w:rsidP="00D36C49">
      <w:pPr>
        <w:numPr>
          <w:ilvl w:val="1"/>
          <w:numId w:val="25"/>
        </w:numPr>
        <w:rPr>
          <w:rFonts w:ascii="Times" w:eastAsia="Batang" w:hAnsi="Times"/>
          <w:sz w:val="20"/>
          <w:szCs w:val="20"/>
          <w:lang w:val="en-GB" w:eastAsia="x-none"/>
        </w:rPr>
      </w:pPr>
      <w:r w:rsidRPr="00D36C49">
        <w:rPr>
          <w:rFonts w:ascii="Times" w:eastAsia="Batang" w:hAnsi="Times"/>
          <w:sz w:val="20"/>
          <w:szCs w:val="20"/>
          <w:lang w:val="en-GB"/>
        </w:rPr>
        <w:t xml:space="preserve">FFS details </w:t>
      </w:r>
    </w:p>
    <w:p w14:paraId="68D848A6" w14:textId="77777777" w:rsidR="00000DA0" w:rsidRDefault="00000DA0" w:rsidP="00622D80">
      <w:pPr>
        <w:rPr>
          <w:rFonts w:eastAsiaTheme="minorEastAsia"/>
          <w:sz w:val="18"/>
          <w:szCs w:val="20"/>
          <w:lang w:val="en-GB" w:eastAsia="zh-CN"/>
        </w:rPr>
      </w:pPr>
    </w:p>
    <w:p w14:paraId="3E0F64EF" w14:textId="7B153216" w:rsidR="00000DA0" w:rsidRPr="00D36C49" w:rsidRDefault="00000DA0" w:rsidP="00000DA0">
      <w:pPr>
        <w:overflowPunct w:val="0"/>
        <w:autoSpaceDE w:val="0"/>
        <w:autoSpaceDN w:val="0"/>
        <w:adjustRightInd w:val="0"/>
        <w:spacing w:beforeLines="60" w:before="144" w:afterLines="60" w:after="144"/>
        <w:textAlignment w:val="baseline"/>
        <w:rPr>
          <w:rFonts w:eastAsia="Yu Mincho"/>
          <w:sz w:val="20"/>
          <w:szCs w:val="20"/>
          <w:lang w:val="en-GB"/>
        </w:rPr>
      </w:pPr>
      <w:r>
        <w:rPr>
          <w:rFonts w:eastAsia="Yu Mincho"/>
          <w:sz w:val="20"/>
          <w:szCs w:val="20"/>
          <w:lang w:val="en-GB"/>
        </w:rPr>
        <w:t>In RAN1#96</w:t>
      </w:r>
      <w:r w:rsidRPr="00D36C49">
        <w:rPr>
          <w:rFonts w:eastAsia="Yu Mincho"/>
          <w:sz w:val="20"/>
          <w:szCs w:val="20"/>
          <w:lang w:val="en-GB"/>
        </w:rPr>
        <w:t>, it is agreed that,</w:t>
      </w:r>
    </w:p>
    <w:p w14:paraId="4C40EA3D" w14:textId="77777777" w:rsidR="00000DA0" w:rsidRPr="00000DA0" w:rsidRDefault="00000DA0" w:rsidP="00000DA0">
      <w:pPr>
        <w:rPr>
          <w:sz w:val="20"/>
          <w:szCs w:val="20"/>
          <w:highlight w:val="green"/>
          <w:lang w:eastAsia="x-none"/>
        </w:rPr>
      </w:pPr>
      <w:r w:rsidRPr="00000DA0">
        <w:rPr>
          <w:sz w:val="20"/>
          <w:szCs w:val="20"/>
          <w:highlight w:val="green"/>
          <w:lang w:eastAsia="x-none"/>
        </w:rPr>
        <w:t>Agreements:</w:t>
      </w:r>
    </w:p>
    <w:p w14:paraId="7166F4FB" w14:textId="77777777" w:rsidR="00000DA0" w:rsidRPr="00000DA0" w:rsidRDefault="00000DA0" w:rsidP="00000DA0">
      <w:pPr>
        <w:pStyle w:val="maintext"/>
        <w:numPr>
          <w:ilvl w:val="0"/>
          <w:numId w:val="27"/>
        </w:numPr>
        <w:ind w:firstLineChars="0"/>
      </w:pPr>
      <w:r w:rsidRPr="00000DA0">
        <w:t xml:space="preserve">The SSBs for IAB inter-node discovery and measurements are defined with a framework using the characteristics of the Rel 15 SMTC framework with the following enhancements: </w:t>
      </w:r>
    </w:p>
    <w:p w14:paraId="15D144B0" w14:textId="77777777" w:rsidR="00000DA0" w:rsidRPr="00000DA0" w:rsidRDefault="00000DA0" w:rsidP="00000DA0">
      <w:pPr>
        <w:pStyle w:val="maintext"/>
        <w:numPr>
          <w:ilvl w:val="1"/>
          <w:numId w:val="27"/>
        </w:numPr>
        <w:ind w:firstLineChars="0"/>
      </w:pPr>
      <w:r w:rsidRPr="00000DA0">
        <w:t>The maximum number of SMTC windows that can be configured for an IAB node, referred as max( N</w:t>
      </w:r>
      <w:r w:rsidRPr="00000DA0">
        <w:rPr>
          <w:vertAlign w:val="subscript"/>
        </w:rPr>
        <w:t>RX</w:t>
      </w:r>
      <w:r w:rsidRPr="00000DA0">
        <w:t xml:space="preserve"> ), is at least 3</w:t>
      </w:r>
    </w:p>
    <w:p w14:paraId="1844BF06" w14:textId="77777777" w:rsidR="00000DA0" w:rsidRPr="00000DA0" w:rsidRDefault="00000DA0" w:rsidP="00000DA0">
      <w:pPr>
        <w:pStyle w:val="maintext"/>
        <w:numPr>
          <w:ilvl w:val="2"/>
          <w:numId w:val="27"/>
        </w:numPr>
        <w:ind w:firstLineChars="0"/>
      </w:pPr>
      <w:r w:rsidRPr="00000DA0">
        <w:t>FFS whether max( N</w:t>
      </w:r>
      <w:r w:rsidRPr="00000DA0">
        <w:rPr>
          <w:vertAlign w:val="subscript"/>
        </w:rPr>
        <w:t>RX</w:t>
      </w:r>
      <w:r w:rsidRPr="00000DA0">
        <w:t xml:space="preserve"> ) needs to be greater than 3</w:t>
      </w:r>
    </w:p>
    <w:p w14:paraId="20610DAB" w14:textId="77777777" w:rsidR="00000DA0" w:rsidRPr="00000DA0" w:rsidRDefault="00000DA0" w:rsidP="00000DA0">
      <w:pPr>
        <w:pStyle w:val="maintext"/>
        <w:numPr>
          <w:ilvl w:val="2"/>
          <w:numId w:val="27"/>
        </w:numPr>
        <w:ind w:firstLineChars="0"/>
      </w:pPr>
      <w:r w:rsidRPr="00000DA0">
        <w:t>FFS whether or not to extend existing SMTC window configuration</w:t>
      </w:r>
    </w:p>
    <w:p w14:paraId="46560D59" w14:textId="77777777" w:rsidR="00000DA0" w:rsidRPr="00000DA0" w:rsidRDefault="00000DA0" w:rsidP="00000DA0">
      <w:pPr>
        <w:pStyle w:val="maintext"/>
        <w:numPr>
          <w:ilvl w:val="1"/>
          <w:numId w:val="27"/>
        </w:numPr>
        <w:ind w:firstLineChars="0"/>
      </w:pPr>
      <w:r w:rsidRPr="00000DA0">
        <w:t>Each SMTC window is provided its own independent configuration (e.g. periodicity, offset, duration)</w:t>
      </w:r>
    </w:p>
    <w:p w14:paraId="6E4AD9F5" w14:textId="77777777" w:rsidR="00000DA0" w:rsidRPr="00000DA0" w:rsidRDefault="00000DA0" w:rsidP="00000DA0">
      <w:pPr>
        <w:pStyle w:val="maintext"/>
        <w:numPr>
          <w:ilvl w:val="1"/>
          <w:numId w:val="27"/>
        </w:numPr>
        <w:ind w:firstLineChars="0"/>
      </w:pPr>
      <w:r w:rsidRPr="00000DA0">
        <w:t>Introduction of SSB transmission configurations (STC) indicating SSB transmission(s)</w:t>
      </w:r>
    </w:p>
    <w:p w14:paraId="489888E9" w14:textId="77777777" w:rsidR="00000DA0" w:rsidRPr="00000DA0" w:rsidRDefault="00000DA0" w:rsidP="00000DA0">
      <w:pPr>
        <w:pStyle w:val="maintext"/>
        <w:numPr>
          <w:ilvl w:val="2"/>
          <w:numId w:val="27"/>
        </w:numPr>
        <w:ind w:firstLineChars="0"/>
      </w:pPr>
      <w:r w:rsidRPr="00000DA0">
        <w:t>FFS details</w:t>
      </w:r>
    </w:p>
    <w:p w14:paraId="1EC924B2" w14:textId="77777777" w:rsidR="00000DA0" w:rsidRPr="00000DA0" w:rsidRDefault="00000DA0" w:rsidP="00000DA0">
      <w:pPr>
        <w:pStyle w:val="maintext"/>
        <w:numPr>
          <w:ilvl w:val="1"/>
          <w:numId w:val="27"/>
        </w:numPr>
        <w:ind w:firstLineChars="0"/>
      </w:pPr>
      <w:r w:rsidRPr="00000DA0">
        <w:t>FFS how to resolve potential collision between SMTC and STC</w:t>
      </w:r>
    </w:p>
    <w:p w14:paraId="4C67FC25" w14:textId="77777777" w:rsidR="00000DA0" w:rsidRPr="00000DA0" w:rsidRDefault="00000DA0" w:rsidP="00622D80">
      <w:pPr>
        <w:rPr>
          <w:rFonts w:eastAsiaTheme="minorEastAsia"/>
          <w:sz w:val="20"/>
          <w:szCs w:val="20"/>
          <w:lang w:val="en-GB" w:eastAsia="zh-CN"/>
        </w:rPr>
      </w:pPr>
    </w:p>
    <w:p w14:paraId="7814C7A5" w14:textId="594DFE13" w:rsidR="003D418E" w:rsidRDefault="00B62619" w:rsidP="00622D80">
      <w:pPr>
        <w:rPr>
          <w:rFonts w:eastAsiaTheme="minorEastAsia"/>
          <w:sz w:val="20"/>
          <w:szCs w:val="20"/>
          <w:lang w:val="en-GB" w:eastAsia="zh-CN"/>
        </w:rPr>
      </w:pPr>
      <w:r>
        <w:rPr>
          <w:rFonts w:eastAsiaTheme="minorEastAsia" w:hint="eastAsia"/>
          <w:sz w:val="20"/>
          <w:szCs w:val="20"/>
          <w:lang w:val="en-GB" w:eastAsia="zh-CN"/>
        </w:rPr>
        <w:t>This contribution</w:t>
      </w:r>
      <w:r w:rsidR="00000DA0">
        <w:rPr>
          <w:rFonts w:eastAsiaTheme="minorEastAsia"/>
          <w:sz w:val="20"/>
          <w:szCs w:val="20"/>
          <w:lang w:val="en-GB" w:eastAsia="zh-CN"/>
        </w:rPr>
        <w:t xml:space="preserve"> discusses the design choice </w:t>
      </w:r>
      <w:r w:rsidR="00EC009B">
        <w:rPr>
          <w:rFonts w:eastAsiaTheme="minorEastAsia"/>
          <w:sz w:val="20"/>
          <w:szCs w:val="20"/>
          <w:lang w:val="en-GB" w:eastAsia="zh-CN"/>
        </w:rPr>
        <w:t>for</w:t>
      </w:r>
      <w:r w:rsidR="00000DA0">
        <w:rPr>
          <w:rFonts w:eastAsiaTheme="minorEastAsia"/>
          <w:sz w:val="20"/>
          <w:szCs w:val="20"/>
          <w:lang w:val="en-GB" w:eastAsia="zh-CN"/>
        </w:rPr>
        <w:t xml:space="preserve"> SMTC and STC.</w:t>
      </w:r>
    </w:p>
    <w:p w14:paraId="5B7994D4" w14:textId="7424786F" w:rsidR="009C08FA" w:rsidRDefault="008224E4"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Discussion</w:t>
      </w:r>
    </w:p>
    <w:p w14:paraId="14F7CB6B" w14:textId="3A1A68FC" w:rsidR="00841E79" w:rsidRDefault="00841E79" w:rsidP="00000DA0">
      <w:pPr>
        <w:pStyle w:val="a0"/>
      </w:pPr>
      <w:r>
        <w:rPr>
          <w:rFonts w:eastAsiaTheme="minorEastAsia" w:hint="eastAsia"/>
          <w:szCs w:val="20"/>
          <w:lang w:eastAsia="zh-CN"/>
        </w:rPr>
        <w:t xml:space="preserve">In order to </w:t>
      </w:r>
      <w:r>
        <w:t xml:space="preserve">configuration of the Tx/Rx coordination can be done centrally at the CU, </w:t>
      </w:r>
      <w:r w:rsidR="00224A14">
        <w:t>the followings are agreed in RAN1#96,</w:t>
      </w:r>
    </w:p>
    <w:p w14:paraId="0DC55010" w14:textId="3D5F04C4" w:rsidR="00224A14" w:rsidRPr="00224A14" w:rsidRDefault="00224A14" w:rsidP="00B90972">
      <w:pPr>
        <w:pStyle w:val="a0"/>
        <w:numPr>
          <w:ilvl w:val="0"/>
          <w:numId w:val="29"/>
        </w:numPr>
      </w:pPr>
      <w:r w:rsidRPr="00224A14">
        <w:t>The IAB-nodes’ DU is provided with a configuration of of SSB transmission configurations (STC) indicating SSB transmission(s)</w:t>
      </w:r>
    </w:p>
    <w:p w14:paraId="57D01E5E" w14:textId="4FAD1C39" w:rsidR="00224A14" w:rsidRPr="00224A14" w:rsidRDefault="00224A14" w:rsidP="00B90972">
      <w:pPr>
        <w:pStyle w:val="a0"/>
        <w:numPr>
          <w:ilvl w:val="0"/>
          <w:numId w:val="29"/>
        </w:numPr>
      </w:pPr>
      <w:r w:rsidRPr="00224A14">
        <w:lastRenderedPageBreak/>
        <w:t>The IAB-nodes’ MT is provided with a configuration of SMTC windows to perform measurement and reporting.</w:t>
      </w:r>
    </w:p>
    <w:p w14:paraId="6BEA67A0" w14:textId="60AF3A37" w:rsidR="00D04850" w:rsidRPr="00D04850" w:rsidRDefault="00D04850" w:rsidP="00B90972">
      <w:pPr>
        <w:pStyle w:val="a0"/>
        <w:rPr>
          <w:rFonts w:eastAsiaTheme="minorEastAsia"/>
          <w:b/>
          <w:szCs w:val="20"/>
          <w:u w:val="single"/>
          <w:lang w:eastAsia="zh-CN"/>
        </w:rPr>
      </w:pPr>
      <w:r w:rsidRPr="00D04850">
        <w:rPr>
          <w:rFonts w:eastAsiaTheme="minorEastAsia"/>
          <w:b/>
          <w:szCs w:val="20"/>
          <w:u w:val="single"/>
          <w:lang w:eastAsia="zh-CN"/>
        </w:rPr>
        <w:t>C</w:t>
      </w:r>
      <w:r w:rsidRPr="00D04850">
        <w:rPr>
          <w:rFonts w:eastAsiaTheme="minorEastAsia" w:hint="eastAsia"/>
          <w:b/>
          <w:szCs w:val="20"/>
          <w:u w:val="single"/>
          <w:lang w:eastAsia="zh-CN"/>
        </w:rPr>
        <w:t xml:space="preserve">onfiguration </w:t>
      </w:r>
      <w:r w:rsidRPr="00D04850">
        <w:rPr>
          <w:rFonts w:eastAsiaTheme="minorEastAsia"/>
          <w:b/>
          <w:szCs w:val="20"/>
          <w:u w:val="single"/>
          <w:lang w:eastAsia="zh-CN"/>
        </w:rPr>
        <w:t xml:space="preserve">of </w:t>
      </w:r>
      <w:r w:rsidRPr="00D04850">
        <w:rPr>
          <w:rFonts w:eastAsiaTheme="minorEastAsia" w:hint="eastAsia"/>
          <w:b/>
          <w:szCs w:val="20"/>
          <w:u w:val="single"/>
          <w:lang w:eastAsia="zh-CN"/>
        </w:rPr>
        <w:t xml:space="preserve">SMTC windows </w:t>
      </w:r>
    </w:p>
    <w:p w14:paraId="6B4FF060" w14:textId="5620AA60" w:rsidR="00EC009B" w:rsidRDefault="00D04850" w:rsidP="00B90972">
      <w:pPr>
        <w:pStyle w:val="a0"/>
      </w:pPr>
      <w:r>
        <w:rPr>
          <w:rFonts w:eastAsiaTheme="minorEastAsia"/>
          <w:szCs w:val="20"/>
          <w:lang w:eastAsia="zh-CN"/>
        </w:rPr>
        <w:t>F</w:t>
      </w:r>
      <w:r w:rsidR="00B90972">
        <w:rPr>
          <w:rFonts w:eastAsiaTheme="minorEastAsia" w:hint="eastAsia"/>
          <w:szCs w:val="20"/>
          <w:lang w:eastAsia="zh-CN"/>
        </w:rPr>
        <w:t xml:space="preserve">or SMTC window configuration, it is agreed that </w:t>
      </w:r>
      <w:r w:rsidR="00B90972">
        <w:rPr>
          <w:rFonts w:eastAsiaTheme="minorEastAsia"/>
          <w:szCs w:val="20"/>
          <w:lang w:eastAsia="zh-CN"/>
        </w:rPr>
        <w:t>t</w:t>
      </w:r>
      <w:r w:rsidR="00EC009B" w:rsidRPr="00000DA0">
        <w:t>he maximum number of SMTC windows that can be configured for an IAB node, referred as max( N</w:t>
      </w:r>
      <w:r w:rsidR="00EC009B" w:rsidRPr="00000DA0">
        <w:rPr>
          <w:vertAlign w:val="subscript"/>
        </w:rPr>
        <w:t>RX</w:t>
      </w:r>
      <w:r w:rsidR="00EC009B" w:rsidRPr="00000DA0">
        <w:t xml:space="preserve"> ), is at least 3</w:t>
      </w:r>
      <w:r w:rsidR="00EC009B">
        <w:t xml:space="preserve"> and e</w:t>
      </w:r>
      <w:r w:rsidR="00EC009B" w:rsidRPr="00000DA0">
        <w:t>ach SMTC window is provided its own independent configuration (e.g. periodicity, offset, duration)</w:t>
      </w:r>
      <w:r>
        <w:t xml:space="preserve">. By further reviewing of the agreement, we think </w:t>
      </w:r>
      <w:r w:rsidRPr="00000DA0">
        <w:t>max( N</w:t>
      </w:r>
      <w:r w:rsidRPr="00000DA0">
        <w:rPr>
          <w:vertAlign w:val="subscript"/>
        </w:rPr>
        <w:t>RX</w:t>
      </w:r>
      <w:r w:rsidRPr="00000DA0">
        <w:t xml:space="preserve"> ) greater than 3</w:t>
      </w:r>
      <w:r>
        <w:t xml:space="preserve"> is needed.</w:t>
      </w:r>
    </w:p>
    <w:p w14:paraId="1FE6037E" w14:textId="31AEC3C8" w:rsidR="00D04850" w:rsidRPr="00F62C64" w:rsidRDefault="00D04850" w:rsidP="00B90972">
      <w:pPr>
        <w:pStyle w:val="a0"/>
      </w:pPr>
      <w:r w:rsidRPr="00F62C64">
        <w:t xml:space="preserve">For intra-frequency, at least </w:t>
      </w:r>
      <w:r w:rsidRPr="00F62C64">
        <w:rPr>
          <w:b/>
        </w:rPr>
        <w:t>3</w:t>
      </w:r>
      <w:r w:rsidRPr="00F62C64">
        <w:t xml:space="preserve"> SMTC windows is needed for an IAB node.</w:t>
      </w:r>
    </w:p>
    <w:p w14:paraId="1386B3DC" w14:textId="5779E666" w:rsidR="00D04850" w:rsidRPr="00F62C64" w:rsidRDefault="00D04850" w:rsidP="00D04850">
      <w:pPr>
        <w:pStyle w:val="a0"/>
        <w:numPr>
          <w:ilvl w:val="0"/>
          <w:numId w:val="30"/>
        </w:numPr>
      </w:pPr>
      <w:r w:rsidRPr="00F62C64">
        <w:t xml:space="preserve">In mathematics, the four color theorem, or the four color map theorem, states that, given any separation of a plane into contiguous regions, producing a figure called a map, no more than four colors are required to color the regions of the map so that no two adjacent regions have the same color. According to this, 4 </w:t>
      </w:r>
      <w:r w:rsidR="00830752" w:rsidRPr="00F62C64">
        <w:t xml:space="preserve">orthogonal SSB transmission opportunities are enough from network perspective to </w:t>
      </w:r>
      <w:r w:rsidR="007462D6" w:rsidRPr="00F62C64">
        <w:t xml:space="preserve">guarantee any of two neighboring IAB nodes </w:t>
      </w:r>
      <w:r w:rsidR="00830752" w:rsidRPr="00F62C64">
        <w:t xml:space="preserve">are transmitting SSBs in different T-F resources. </w:t>
      </w:r>
      <w:r w:rsidR="001460C0" w:rsidRPr="00F62C64">
        <w:t xml:space="preserve">Hence </w:t>
      </w:r>
      <w:r w:rsidR="007462D6" w:rsidRPr="00F62C64">
        <w:t xml:space="preserve">from an IAB perspective, </w:t>
      </w:r>
      <w:r w:rsidR="007462D6" w:rsidRPr="00F62C64">
        <w:rPr>
          <w:b/>
        </w:rPr>
        <w:t>3</w:t>
      </w:r>
      <w:r w:rsidR="007462D6" w:rsidRPr="00F62C64">
        <w:t xml:space="preserve"> different SMTC windows configuration is enough for it to perform measurement and reporting for intra-frequency.</w:t>
      </w:r>
    </w:p>
    <w:p w14:paraId="2276972F" w14:textId="3A36B6A0" w:rsidR="007462D6" w:rsidRPr="00F62C64" w:rsidRDefault="007462D6" w:rsidP="007462D6">
      <w:pPr>
        <w:pStyle w:val="a0"/>
      </w:pPr>
      <w:r w:rsidRPr="00F62C64">
        <w:t xml:space="preserve">For inter-frequency, at least </w:t>
      </w:r>
      <w:r w:rsidRPr="00F62C64">
        <w:rPr>
          <w:b/>
        </w:rPr>
        <w:t>2</w:t>
      </w:r>
      <w:r w:rsidRPr="00F62C64">
        <w:t xml:space="preserve"> SMTC windows is needed for </w:t>
      </w:r>
      <w:r w:rsidR="004A1149" w:rsidRPr="00F62C64">
        <w:t>IAB node to monitor</w:t>
      </w:r>
      <w:r w:rsidRPr="00F62C64">
        <w:t>.</w:t>
      </w:r>
    </w:p>
    <w:p w14:paraId="0394A0FC" w14:textId="63E8F837" w:rsidR="007462D6" w:rsidRPr="00F62C64" w:rsidRDefault="007462D6" w:rsidP="007462D6">
      <w:pPr>
        <w:pStyle w:val="a0"/>
      </w:pPr>
      <w:r w:rsidRPr="00F62C64">
        <w:t xml:space="preserve">Hence, it is proposed that the total number of SMTC windows should be </w:t>
      </w:r>
      <w:r w:rsidRPr="00F62C64">
        <w:rPr>
          <w:b/>
        </w:rPr>
        <w:t>5</w:t>
      </w:r>
      <w:r w:rsidRPr="00F62C64">
        <w:t>.</w:t>
      </w:r>
    </w:p>
    <w:p w14:paraId="55DA49F2" w14:textId="41A087F8" w:rsidR="001220CE" w:rsidRPr="003A218A" w:rsidRDefault="001220CE" w:rsidP="007462D6">
      <w:pPr>
        <w:pStyle w:val="a0"/>
        <w:rPr>
          <w:b/>
        </w:rPr>
      </w:pPr>
      <w:r w:rsidRPr="003A218A">
        <w:rPr>
          <w:b/>
        </w:rPr>
        <w:t xml:space="preserve">Proposal 1: support maximum </w:t>
      </w:r>
      <w:r w:rsidR="003A218A" w:rsidRPr="003A218A">
        <w:rPr>
          <w:b/>
        </w:rPr>
        <w:t>5</w:t>
      </w:r>
      <w:r w:rsidRPr="003A218A">
        <w:rPr>
          <w:b/>
        </w:rPr>
        <w:t xml:space="preserve"> SMTC windows that can be configured for an IAB node, referred as max( N</w:t>
      </w:r>
      <w:r w:rsidRPr="003A218A">
        <w:rPr>
          <w:b/>
          <w:vertAlign w:val="subscript"/>
        </w:rPr>
        <w:t>RX</w:t>
      </w:r>
      <w:r w:rsidR="003A218A" w:rsidRPr="003A218A">
        <w:rPr>
          <w:b/>
        </w:rPr>
        <w:t xml:space="preserve"> ) = 5</w:t>
      </w:r>
    </w:p>
    <w:p w14:paraId="290B918D" w14:textId="7DFFB546" w:rsidR="001220CE" w:rsidRDefault="007462D6" w:rsidP="007462D6">
      <w:pPr>
        <w:pStyle w:val="a0"/>
      </w:pPr>
      <w:r>
        <w:rPr>
          <w:rFonts w:eastAsiaTheme="minorEastAsia"/>
          <w:lang w:eastAsia="zh-CN"/>
        </w:rPr>
        <w:t>S</w:t>
      </w:r>
      <w:r>
        <w:rPr>
          <w:rFonts w:eastAsiaTheme="minorEastAsia" w:hint="eastAsia"/>
          <w:lang w:eastAsia="zh-CN"/>
        </w:rPr>
        <w:t>econdly,</w:t>
      </w:r>
      <w:r>
        <w:rPr>
          <w:rFonts w:eastAsiaTheme="minorEastAsia"/>
          <w:lang w:eastAsia="zh-CN"/>
        </w:rPr>
        <w:t xml:space="preserve"> </w:t>
      </w:r>
      <w:r w:rsidR="006E6C37">
        <w:rPr>
          <w:rFonts w:eastAsiaTheme="minorEastAsia"/>
          <w:lang w:eastAsia="zh-CN"/>
        </w:rPr>
        <w:t xml:space="preserve">regarding the parameters for configuration, the </w:t>
      </w:r>
      <w:r w:rsidR="006E6C37" w:rsidRPr="006E6C37">
        <w:rPr>
          <w:i/>
        </w:rPr>
        <w:t>periodicityAndOffset</w:t>
      </w:r>
      <w:r w:rsidR="006E6C37">
        <w:t xml:space="preserve"> and </w:t>
      </w:r>
      <w:r w:rsidR="006E6C37" w:rsidRPr="006E6C37">
        <w:rPr>
          <w:i/>
        </w:rPr>
        <w:t>duration</w:t>
      </w:r>
      <w:r w:rsidR="006E6C37">
        <w:t xml:space="preserve"> in </w:t>
      </w:r>
      <w:r w:rsidR="006E6C37">
        <w:rPr>
          <w:i/>
        </w:rPr>
        <w:t xml:space="preserve">SSB-MTC </w:t>
      </w:r>
      <w:r w:rsidR="006E6C37">
        <w:t xml:space="preserve">should at least be supported. Furthermore, </w:t>
      </w:r>
      <w:r w:rsidR="006E6C37">
        <w:rPr>
          <w:rFonts w:eastAsia="宋体" w:hint="eastAsia"/>
          <w:lang w:eastAsia="zh-CN"/>
        </w:rPr>
        <w:t>a.k.</w:t>
      </w:r>
      <w:r w:rsidR="006E6C37">
        <w:rPr>
          <w:rFonts w:eastAsia="宋体"/>
          <w:lang w:eastAsia="zh-CN"/>
        </w:rPr>
        <w:t>a.</w:t>
      </w:r>
      <w:r w:rsidR="006E6C37">
        <w:rPr>
          <w:rFonts w:eastAsia="宋体" w:hint="eastAsia"/>
          <w:lang w:eastAsia="zh-CN"/>
        </w:rPr>
        <w:t xml:space="preserve"> </w:t>
      </w:r>
      <w:r w:rsidR="006E6C37">
        <w:rPr>
          <w:rFonts w:eastAsia="宋体"/>
          <w:lang w:eastAsia="zh-CN"/>
        </w:rPr>
        <w:t xml:space="preserve">‘off-raster’ solution, additional SSB resources may be introduced for </w:t>
      </w:r>
      <w:r w:rsidR="006E6C37" w:rsidRPr="004E2615">
        <w:rPr>
          <w:rFonts w:eastAsia="宋体" w:cs="Arial"/>
          <w:lang w:eastAsia="zh-CN"/>
        </w:rPr>
        <w:t>inter-IAB-node discovery and measurements</w:t>
      </w:r>
      <w:r w:rsidR="006E6C37">
        <w:rPr>
          <w:rFonts w:eastAsia="宋体" w:cs="Arial"/>
          <w:lang w:eastAsia="zh-CN"/>
        </w:rPr>
        <w:t>.</w:t>
      </w:r>
      <w:r w:rsidR="001220CE">
        <w:rPr>
          <w:rFonts w:eastAsia="宋体" w:cs="Arial"/>
          <w:lang w:eastAsia="zh-CN"/>
        </w:rPr>
        <w:t xml:space="preserve">  Therefore, the </w:t>
      </w:r>
      <w:r w:rsidR="001220CE" w:rsidRPr="001220CE">
        <w:rPr>
          <w:i/>
        </w:rPr>
        <w:t>ssbFrequency</w:t>
      </w:r>
      <w:r w:rsidR="001220CE">
        <w:t xml:space="preserve"> should be also supported to be configurable. </w:t>
      </w:r>
      <w:r w:rsidR="001220CE" w:rsidRPr="003A218A">
        <w:rPr>
          <w:i/>
        </w:rPr>
        <w:t>ssb-ToMeasure</w:t>
      </w:r>
      <w:r w:rsidR="001220CE">
        <w:t xml:space="preserve"> can also be supported in order to reduce the number of SSBs to be measured. It is beneficial especially for backhaul link for directional transmission.</w:t>
      </w:r>
    </w:p>
    <w:p w14:paraId="3DE464E7" w14:textId="172E4548" w:rsidR="001220CE" w:rsidRPr="003A218A" w:rsidRDefault="003A218A" w:rsidP="007462D6">
      <w:pPr>
        <w:pStyle w:val="a0"/>
        <w:rPr>
          <w:rFonts w:eastAsiaTheme="minorEastAsia"/>
          <w:b/>
          <w:i/>
          <w:lang w:eastAsia="zh-CN"/>
        </w:rPr>
      </w:pPr>
      <w:r w:rsidRPr="003A218A">
        <w:rPr>
          <w:rFonts w:eastAsiaTheme="minorEastAsia"/>
          <w:b/>
          <w:lang w:eastAsia="zh-CN"/>
        </w:rPr>
        <w:t>P</w:t>
      </w:r>
      <w:r w:rsidRPr="003A218A">
        <w:rPr>
          <w:rFonts w:eastAsiaTheme="minorEastAsia" w:hint="eastAsia"/>
          <w:b/>
          <w:lang w:eastAsia="zh-CN"/>
        </w:rPr>
        <w:t xml:space="preserve">roposal </w:t>
      </w:r>
      <w:r w:rsidRPr="003A218A">
        <w:rPr>
          <w:rFonts w:eastAsiaTheme="minorEastAsia"/>
          <w:b/>
          <w:lang w:eastAsia="zh-CN"/>
        </w:rPr>
        <w:t xml:space="preserve">2: </w:t>
      </w:r>
      <w:r w:rsidRPr="003A218A">
        <w:rPr>
          <w:b/>
        </w:rPr>
        <w:t xml:space="preserve">Each SMTC window is provided its own independent configuration at least contains  </w:t>
      </w:r>
      <w:r w:rsidRPr="003A218A">
        <w:rPr>
          <w:b/>
          <w:i/>
        </w:rPr>
        <w:t xml:space="preserve">periodicityAndOffset, duration, ssbFrequency </w:t>
      </w:r>
      <w:r w:rsidRPr="003A218A">
        <w:rPr>
          <w:b/>
        </w:rPr>
        <w:t>and</w:t>
      </w:r>
      <w:r w:rsidRPr="003A218A">
        <w:rPr>
          <w:b/>
          <w:i/>
        </w:rPr>
        <w:t xml:space="preserve"> ssb-ToMeasure</w:t>
      </w:r>
    </w:p>
    <w:p w14:paraId="0B93A6BD" w14:textId="77777777" w:rsidR="001220CE" w:rsidRPr="001220CE" w:rsidRDefault="001220CE" w:rsidP="007462D6">
      <w:pPr>
        <w:pStyle w:val="a0"/>
      </w:pPr>
    </w:p>
    <w:p w14:paraId="464CA1C5" w14:textId="56119801" w:rsidR="003A218A" w:rsidRPr="00D04850" w:rsidRDefault="003A218A" w:rsidP="003A218A">
      <w:pPr>
        <w:pStyle w:val="a0"/>
        <w:rPr>
          <w:rFonts w:eastAsiaTheme="minorEastAsia"/>
          <w:b/>
          <w:szCs w:val="20"/>
          <w:u w:val="single"/>
          <w:lang w:eastAsia="zh-CN"/>
        </w:rPr>
      </w:pPr>
      <w:r w:rsidRPr="00D04850">
        <w:rPr>
          <w:rFonts w:eastAsiaTheme="minorEastAsia"/>
          <w:b/>
          <w:szCs w:val="20"/>
          <w:u w:val="single"/>
          <w:lang w:eastAsia="zh-CN"/>
        </w:rPr>
        <w:t>C</w:t>
      </w:r>
      <w:r w:rsidRPr="00D04850">
        <w:rPr>
          <w:rFonts w:eastAsiaTheme="minorEastAsia" w:hint="eastAsia"/>
          <w:b/>
          <w:szCs w:val="20"/>
          <w:u w:val="single"/>
          <w:lang w:eastAsia="zh-CN"/>
        </w:rPr>
        <w:t xml:space="preserve">onfiguration </w:t>
      </w:r>
      <w:r w:rsidRPr="00D04850">
        <w:rPr>
          <w:rFonts w:eastAsiaTheme="minorEastAsia"/>
          <w:b/>
          <w:szCs w:val="20"/>
          <w:u w:val="single"/>
          <w:lang w:eastAsia="zh-CN"/>
        </w:rPr>
        <w:t xml:space="preserve">of </w:t>
      </w:r>
      <w:r>
        <w:rPr>
          <w:rFonts w:eastAsiaTheme="minorEastAsia"/>
          <w:b/>
          <w:szCs w:val="20"/>
          <w:u w:val="single"/>
          <w:lang w:eastAsia="zh-CN"/>
        </w:rPr>
        <w:t>STC</w:t>
      </w:r>
      <w:r w:rsidRPr="00D04850">
        <w:rPr>
          <w:rFonts w:eastAsiaTheme="minorEastAsia" w:hint="eastAsia"/>
          <w:b/>
          <w:szCs w:val="20"/>
          <w:u w:val="single"/>
          <w:lang w:eastAsia="zh-CN"/>
        </w:rPr>
        <w:t xml:space="preserve"> </w:t>
      </w:r>
    </w:p>
    <w:p w14:paraId="10068784" w14:textId="517D8DC0" w:rsidR="007462D6" w:rsidRDefault="003A218A" w:rsidP="007462D6">
      <w:pPr>
        <w:pStyle w:val="a0"/>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purpose of configuring STC at least for the followings,</w:t>
      </w:r>
    </w:p>
    <w:p w14:paraId="2BCC2393" w14:textId="4BA63B42" w:rsidR="003A218A" w:rsidRDefault="003A218A" w:rsidP="003A218A">
      <w:pPr>
        <w:pStyle w:val="a0"/>
        <w:numPr>
          <w:ilvl w:val="0"/>
          <w:numId w:val="31"/>
        </w:numPr>
        <w:rPr>
          <w:rFonts w:eastAsiaTheme="minorEastAsia"/>
          <w:lang w:eastAsia="zh-CN"/>
        </w:rPr>
      </w:pPr>
      <w:r>
        <w:rPr>
          <w:rFonts w:eastAsiaTheme="minorEastAsia"/>
          <w:lang w:eastAsia="zh-CN"/>
        </w:rPr>
        <w:t>UEs in access link to monitor SSBs which are transmitted by IAB DU module.</w:t>
      </w:r>
    </w:p>
    <w:p w14:paraId="433C27B8" w14:textId="51027D91" w:rsidR="003A218A" w:rsidRPr="003A218A" w:rsidRDefault="003A218A" w:rsidP="003A218A">
      <w:pPr>
        <w:pStyle w:val="a0"/>
        <w:numPr>
          <w:ilvl w:val="0"/>
          <w:numId w:val="31"/>
        </w:numPr>
        <w:rPr>
          <w:rFonts w:eastAsiaTheme="minorEastAsia"/>
          <w:lang w:eastAsia="zh-CN"/>
        </w:rPr>
      </w:pPr>
      <w:r>
        <w:rPr>
          <w:rFonts w:eastAsiaTheme="minorEastAsia"/>
          <w:lang w:eastAsia="zh-CN"/>
        </w:rPr>
        <w:t>Neighboring</w:t>
      </w:r>
      <w:r>
        <w:rPr>
          <w:rFonts w:eastAsiaTheme="minorEastAsia" w:hint="eastAsia"/>
          <w:lang w:eastAsia="zh-CN"/>
        </w:rPr>
        <w:t xml:space="preserve"> </w:t>
      </w:r>
      <w:r>
        <w:rPr>
          <w:rFonts w:eastAsiaTheme="minorEastAsia"/>
          <w:lang w:eastAsia="zh-CN"/>
        </w:rPr>
        <w:t xml:space="preserve">IAB nodes to monitoring SSBs </w:t>
      </w:r>
    </w:p>
    <w:p w14:paraId="310E6FDD" w14:textId="1AC10F4E" w:rsidR="00B90972" w:rsidRDefault="002A511C" w:rsidP="00B90972">
      <w:pPr>
        <w:pStyle w:val="a0"/>
        <w:rPr>
          <w:rFonts w:eastAsiaTheme="minorEastAsia"/>
          <w:lang w:eastAsia="zh-CN"/>
        </w:rPr>
      </w:pPr>
      <w:r>
        <w:rPr>
          <w:rFonts w:eastAsiaTheme="minorEastAsia" w:hint="eastAsia"/>
          <w:lang w:eastAsia="zh-CN"/>
        </w:rPr>
        <w:t>Since these two purpose may have different requirement of the STC configurations, e.g.,</w:t>
      </w:r>
      <w:r>
        <w:rPr>
          <w:rFonts w:eastAsiaTheme="minorEastAsia"/>
          <w:lang w:eastAsia="zh-CN"/>
        </w:rPr>
        <w:t xml:space="preserve"> period and offset and etc. It is natural to support at least 2 STC configurations for an IAB node.</w:t>
      </w:r>
    </w:p>
    <w:p w14:paraId="54931DD5" w14:textId="6CAE11FC" w:rsidR="002A511C" w:rsidRDefault="002A511C" w:rsidP="002A511C">
      <w:pPr>
        <w:pStyle w:val="a0"/>
        <w:rPr>
          <w:b/>
        </w:rPr>
      </w:pPr>
      <w:r>
        <w:rPr>
          <w:b/>
        </w:rPr>
        <w:t>Proposal 3</w:t>
      </w:r>
      <w:r w:rsidRPr="003A218A">
        <w:rPr>
          <w:b/>
        </w:rPr>
        <w:t>: suppo</w:t>
      </w:r>
      <w:r w:rsidRPr="002A511C">
        <w:rPr>
          <w:b/>
        </w:rPr>
        <w:t>rt at least 2 STC that can be configured for an IAB node indicating SSB transmission(s), referred as max( N</w:t>
      </w:r>
      <w:r w:rsidRPr="002A511C">
        <w:rPr>
          <w:b/>
          <w:vertAlign w:val="subscript"/>
        </w:rPr>
        <w:t>TX</w:t>
      </w:r>
      <w:r w:rsidRPr="002A511C">
        <w:rPr>
          <w:b/>
        </w:rPr>
        <w:t xml:space="preserve"> ) is at least 2</w:t>
      </w:r>
      <w:r>
        <w:rPr>
          <w:b/>
        </w:rPr>
        <w:t xml:space="preserve">. </w:t>
      </w:r>
    </w:p>
    <w:p w14:paraId="689D35CA" w14:textId="3EBE048B" w:rsidR="002A511C" w:rsidRPr="003A218A" w:rsidRDefault="002A511C" w:rsidP="002A511C">
      <w:pPr>
        <w:pStyle w:val="a0"/>
        <w:rPr>
          <w:rFonts w:eastAsiaTheme="minorEastAsia"/>
          <w:b/>
          <w:i/>
          <w:lang w:eastAsia="zh-CN"/>
        </w:rPr>
      </w:pPr>
      <w:r>
        <w:rPr>
          <w:b/>
        </w:rPr>
        <w:t xml:space="preserve">Proposal 4: </w:t>
      </w:r>
      <w:r w:rsidRPr="003A218A">
        <w:rPr>
          <w:b/>
        </w:rPr>
        <w:t xml:space="preserve">Each </w:t>
      </w:r>
      <w:r>
        <w:rPr>
          <w:b/>
        </w:rPr>
        <w:t>STC</w:t>
      </w:r>
      <w:r w:rsidRPr="003A218A">
        <w:rPr>
          <w:b/>
        </w:rPr>
        <w:t xml:space="preserve"> is provided its own independent configuration at least contains  </w:t>
      </w:r>
      <w:r w:rsidRPr="003A218A">
        <w:rPr>
          <w:b/>
          <w:i/>
        </w:rPr>
        <w:t xml:space="preserve">periodicityAndOffset, duration, ssbFrequency </w:t>
      </w:r>
      <w:r w:rsidRPr="003A218A">
        <w:rPr>
          <w:b/>
        </w:rPr>
        <w:t>and</w:t>
      </w:r>
      <w:r w:rsidRPr="003A218A">
        <w:rPr>
          <w:b/>
          <w:i/>
        </w:rPr>
        <w:t xml:space="preserve"> ssb-ToMeasure</w:t>
      </w:r>
    </w:p>
    <w:p w14:paraId="567FF9ED" w14:textId="6CF4D7DF" w:rsidR="002A511C" w:rsidRPr="003A218A" w:rsidRDefault="002A511C" w:rsidP="002A511C">
      <w:pPr>
        <w:pStyle w:val="a0"/>
        <w:rPr>
          <w:b/>
        </w:rPr>
      </w:pPr>
    </w:p>
    <w:p w14:paraId="501EF02B" w14:textId="61835C7B" w:rsidR="002A511C" w:rsidRPr="00D04850" w:rsidRDefault="002A511C" w:rsidP="002A511C">
      <w:pPr>
        <w:pStyle w:val="a0"/>
        <w:rPr>
          <w:rFonts w:eastAsiaTheme="minorEastAsia"/>
          <w:b/>
          <w:szCs w:val="20"/>
          <w:u w:val="single"/>
          <w:lang w:eastAsia="zh-CN"/>
        </w:rPr>
      </w:pPr>
      <w:r>
        <w:rPr>
          <w:rFonts w:eastAsiaTheme="minorEastAsia"/>
          <w:b/>
          <w:szCs w:val="20"/>
          <w:u w:val="single"/>
          <w:lang w:eastAsia="zh-CN"/>
        </w:rPr>
        <w:t>P</w:t>
      </w:r>
      <w:r w:rsidRPr="002A511C">
        <w:rPr>
          <w:rFonts w:eastAsiaTheme="minorEastAsia"/>
          <w:b/>
          <w:szCs w:val="20"/>
          <w:u w:val="single"/>
          <w:lang w:eastAsia="zh-CN"/>
        </w:rPr>
        <w:t xml:space="preserve">otential collision </w:t>
      </w:r>
      <w:r>
        <w:rPr>
          <w:rFonts w:eastAsiaTheme="minorEastAsia"/>
          <w:b/>
          <w:szCs w:val="20"/>
          <w:u w:val="single"/>
          <w:lang w:eastAsia="zh-CN"/>
        </w:rPr>
        <w:t>between STC and SMTC</w:t>
      </w:r>
    </w:p>
    <w:p w14:paraId="4FCD5933" w14:textId="77777777" w:rsidR="00684BFC" w:rsidRDefault="00684BFC" w:rsidP="00B90972">
      <w:pPr>
        <w:pStyle w:val="a0"/>
        <w:rPr>
          <w:rFonts w:eastAsiaTheme="minorEastAsia"/>
          <w:lang w:eastAsia="zh-CN"/>
        </w:rPr>
      </w:pPr>
      <w:r>
        <w:rPr>
          <w:rFonts w:eastAsiaTheme="minorEastAsia"/>
          <w:lang w:eastAsia="zh-CN"/>
        </w:rPr>
        <w:t>As mentioned in the c</w:t>
      </w:r>
      <w:r w:rsidRPr="00684BFC">
        <w:rPr>
          <w:rFonts w:eastAsiaTheme="minorEastAsia"/>
          <w:lang w:eastAsia="zh-CN"/>
        </w:rPr>
        <w:t>onfiguration of STC</w:t>
      </w:r>
      <w:r>
        <w:rPr>
          <w:rFonts w:eastAsiaTheme="minorEastAsia"/>
          <w:lang w:eastAsia="zh-CN"/>
        </w:rPr>
        <w:t xml:space="preserve">, if a STC configuration for the purpose of transmitting SSBs for UE, it should not be impacted otherwise the UE measurement behaviors is impacted. </w:t>
      </w:r>
    </w:p>
    <w:p w14:paraId="489F8400" w14:textId="7EE09DB1" w:rsidR="00684BFC" w:rsidRDefault="00684BFC" w:rsidP="00684BFC">
      <w:pPr>
        <w:pStyle w:val="a0"/>
        <w:rPr>
          <w:rFonts w:eastAsiaTheme="minorEastAsia"/>
          <w:lang w:eastAsia="zh-CN"/>
        </w:rPr>
      </w:pPr>
      <w:r>
        <w:rPr>
          <w:rFonts w:eastAsiaTheme="minorEastAsia"/>
          <w:lang w:eastAsia="zh-CN"/>
        </w:rPr>
        <w:t>If a STC configuration for the purpose of neighboring</w:t>
      </w:r>
      <w:r>
        <w:rPr>
          <w:rFonts w:eastAsiaTheme="minorEastAsia" w:hint="eastAsia"/>
          <w:lang w:eastAsia="zh-CN"/>
        </w:rPr>
        <w:t xml:space="preserve"> </w:t>
      </w:r>
      <w:r>
        <w:rPr>
          <w:rFonts w:eastAsiaTheme="minorEastAsia"/>
          <w:lang w:eastAsia="zh-CN"/>
        </w:rPr>
        <w:t>IAB nodes to monitoring SSBs, it is more complicated. From an IAB point of view, SMTC contains multiple opportunities for IAB to receive SSBs. Hence it is expected that when an occasion for STC is collided with an occasion for SMTC, prioritizing transmitting SSBs should be considered at first. However, considering some IAB nodes may have more critical demand on measurement/reporting than being discovered by other IAB nodes, prioritizing receiving SSBs can also be considered.</w:t>
      </w:r>
    </w:p>
    <w:p w14:paraId="60F9DDFA" w14:textId="6D55408E" w:rsidR="004E2711" w:rsidRPr="00D90D43" w:rsidRDefault="00FC39CA" w:rsidP="00C47C40">
      <w:pPr>
        <w:pStyle w:val="a0"/>
        <w:rPr>
          <w:rFonts w:eastAsia="宋体"/>
          <w:b/>
          <w:lang w:eastAsia="zh-CN"/>
        </w:rPr>
      </w:pPr>
      <w:r>
        <w:rPr>
          <w:b/>
        </w:rPr>
        <w:t xml:space="preserve">Proposal 5: Further study on </w:t>
      </w:r>
      <w:r w:rsidRPr="00FC39CA">
        <w:rPr>
          <w:b/>
        </w:rPr>
        <w:t>prioritizing</w:t>
      </w:r>
      <w:r>
        <w:rPr>
          <w:b/>
        </w:rPr>
        <w:t xml:space="preserve"> STC or</w:t>
      </w:r>
      <w:r w:rsidRPr="00FC39CA">
        <w:rPr>
          <w:b/>
        </w:rPr>
        <w:t xml:space="preserve"> SMTC</w:t>
      </w:r>
      <w:r w:rsidR="00F62C64">
        <w:rPr>
          <w:b/>
        </w:rPr>
        <w:t xml:space="preserve"> for different cases</w:t>
      </w:r>
      <w:r>
        <w:rPr>
          <w:b/>
        </w:rPr>
        <w:t>.</w:t>
      </w:r>
    </w:p>
    <w:p w14:paraId="49ED5C52" w14:textId="77777777" w:rsidR="009A5810" w:rsidRDefault="0084503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lastRenderedPageBreak/>
        <w:t>Conclusion</w:t>
      </w:r>
      <w:bookmarkStart w:id="2" w:name="_GoBack"/>
      <w:bookmarkEnd w:id="2"/>
    </w:p>
    <w:p w14:paraId="091124B4" w14:textId="6F415D19" w:rsidR="00B62619" w:rsidRPr="00F35E33" w:rsidRDefault="00B62619" w:rsidP="00F35E33">
      <w:pPr>
        <w:pStyle w:val="a0"/>
        <w:rPr>
          <w:rFonts w:eastAsia="宋体"/>
          <w:lang w:eastAsia="zh-CN"/>
        </w:rPr>
      </w:pPr>
      <w:r>
        <w:rPr>
          <w:rFonts w:eastAsia="宋体" w:cs="Arial"/>
          <w:lang w:val="fr-FR" w:eastAsia="zh-CN"/>
        </w:rPr>
        <w:t xml:space="preserve">For </w:t>
      </w:r>
      <w:r w:rsidRPr="004E2615">
        <w:rPr>
          <w:rFonts w:eastAsia="宋体" w:cs="Arial"/>
          <w:lang w:eastAsia="zh-CN"/>
        </w:rPr>
        <w:t>extension of SSBs for inter-IAB-node discovery and meas</w:t>
      </w:r>
      <w:r w:rsidRPr="00B62619">
        <w:rPr>
          <w:rFonts w:eastAsia="宋体" w:cs="Arial"/>
          <w:lang w:eastAsia="zh-CN"/>
        </w:rPr>
        <w:t>urements</w:t>
      </w:r>
      <w:r w:rsidRPr="00F35E33">
        <w:rPr>
          <w:rFonts w:eastAsia="宋体"/>
          <w:lang w:eastAsia="zh-CN"/>
        </w:rPr>
        <w:t>, it is proposed as follows,</w:t>
      </w:r>
    </w:p>
    <w:bookmarkEnd w:id="0"/>
    <w:bookmarkEnd w:id="1"/>
    <w:p w14:paraId="100B399C" w14:textId="77777777" w:rsidR="00FC39CA" w:rsidRPr="003A218A" w:rsidRDefault="00FC39CA" w:rsidP="00FC39CA">
      <w:pPr>
        <w:pStyle w:val="a0"/>
        <w:rPr>
          <w:b/>
        </w:rPr>
      </w:pPr>
      <w:r w:rsidRPr="003A218A">
        <w:rPr>
          <w:b/>
        </w:rPr>
        <w:t>Proposal 1: support maximum 5 SMTC windows that can be configured for an IAB node, referred as max( N</w:t>
      </w:r>
      <w:r w:rsidRPr="003A218A">
        <w:rPr>
          <w:b/>
          <w:vertAlign w:val="subscript"/>
        </w:rPr>
        <w:t>RX</w:t>
      </w:r>
      <w:r w:rsidRPr="003A218A">
        <w:rPr>
          <w:b/>
        </w:rPr>
        <w:t xml:space="preserve"> ) = 5</w:t>
      </w:r>
    </w:p>
    <w:p w14:paraId="398679F0" w14:textId="77777777" w:rsidR="00FC39CA" w:rsidRPr="003A218A" w:rsidRDefault="00FC39CA" w:rsidP="00FC39CA">
      <w:pPr>
        <w:pStyle w:val="a0"/>
        <w:rPr>
          <w:rFonts w:eastAsiaTheme="minorEastAsia"/>
          <w:b/>
          <w:i/>
          <w:lang w:eastAsia="zh-CN"/>
        </w:rPr>
      </w:pPr>
      <w:r w:rsidRPr="003A218A">
        <w:rPr>
          <w:rFonts w:eastAsiaTheme="minorEastAsia"/>
          <w:b/>
          <w:lang w:eastAsia="zh-CN"/>
        </w:rPr>
        <w:t>P</w:t>
      </w:r>
      <w:r w:rsidRPr="003A218A">
        <w:rPr>
          <w:rFonts w:eastAsiaTheme="minorEastAsia" w:hint="eastAsia"/>
          <w:b/>
          <w:lang w:eastAsia="zh-CN"/>
        </w:rPr>
        <w:t xml:space="preserve">roposal </w:t>
      </w:r>
      <w:r w:rsidRPr="003A218A">
        <w:rPr>
          <w:rFonts w:eastAsiaTheme="minorEastAsia"/>
          <w:b/>
          <w:lang w:eastAsia="zh-CN"/>
        </w:rPr>
        <w:t xml:space="preserve">2: </w:t>
      </w:r>
      <w:r w:rsidRPr="003A218A">
        <w:rPr>
          <w:b/>
        </w:rPr>
        <w:t xml:space="preserve">Each SMTC window is provided its own independent configuration at least contains  </w:t>
      </w:r>
      <w:r w:rsidRPr="003A218A">
        <w:rPr>
          <w:b/>
          <w:i/>
        </w:rPr>
        <w:t xml:space="preserve">periodicityAndOffset, duration, ssbFrequency </w:t>
      </w:r>
      <w:r w:rsidRPr="003A218A">
        <w:rPr>
          <w:b/>
        </w:rPr>
        <w:t>and</w:t>
      </w:r>
      <w:r w:rsidRPr="003A218A">
        <w:rPr>
          <w:b/>
          <w:i/>
        </w:rPr>
        <w:t xml:space="preserve"> ssb-ToMeasure</w:t>
      </w:r>
    </w:p>
    <w:p w14:paraId="4C123DFB" w14:textId="77777777" w:rsidR="00FC39CA" w:rsidRDefault="00FC39CA" w:rsidP="00FC39CA">
      <w:pPr>
        <w:pStyle w:val="a0"/>
        <w:rPr>
          <w:b/>
        </w:rPr>
      </w:pPr>
      <w:r>
        <w:rPr>
          <w:b/>
        </w:rPr>
        <w:t>Proposal 3</w:t>
      </w:r>
      <w:r w:rsidRPr="003A218A">
        <w:rPr>
          <w:b/>
        </w:rPr>
        <w:t>: suppo</w:t>
      </w:r>
      <w:r w:rsidRPr="002A511C">
        <w:rPr>
          <w:b/>
        </w:rPr>
        <w:t>rt at least 2 STC that can be configured for an IAB node indicating SSB transmission(s), referred as max( N</w:t>
      </w:r>
      <w:r w:rsidRPr="002A511C">
        <w:rPr>
          <w:b/>
          <w:vertAlign w:val="subscript"/>
        </w:rPr>
        <w:t>TX</w:t>
      </w:r>
      <w:r w:rsidRPr="002A511C">
        <w:rPr>
          <w:b/>
        </w:rPr>
        <w:t xml:space="preserve"> ) is at least 2</w:t>
      </w:r>
      <w:r>
        <w:rPr>
          <w:b/>
        </w:rPr>
        <w:t xml:space="preserve">. </w:t>
      </w:r>
    </w:p>
    <w:p w14:paraId="72E0ACC2" w14:textId="77777777" w:rsidR="00FC39CA" w:rsidRPr="003A218A" w:rsidRDefault="00FC39CA" w:rsidP="00FC39CA">
      <w:pPr>
        <w:pStyle w:val="a0"/>
        <w:rPr>
          <w:rFonts w:eastAsiaTheme="minorEastAsia"/>
          <w:b/>
          <w:i/>
          <w:lang w:eastAsia="zh-CN"/>
        </w:rPr>
      </w:pPr>
      <w:r>
        <w:rPr>
          <w:b/>
        </w:rPr>
        <w:t xml:space="preserve">Proposal 4: </w:t>
      </w:r>
      <w:r w:rsidRPr="003A218A">
        <w:rPr>
          <w:b/>
        </w:rPr>
        <w:t xml:space="preserve">Each </w:t>
      </w:r>
      <w:r>
        <w:rPr>
          <w:b/>
        </w:rPr>
        <w:t>STC</w:t>
      </w:r>
      <w:r w:rsidRPr="003A218A">
        <w:rPr>
          <w:b/>
        </w:rPr>
        <w:t xml:space="preserve"> is provided its own independent configuration at least contains  </w:t>
      </w:r>
      <w:r w:rsidRPr="003A218A">
        <w:rPr>
          <w:b/>
          <w:i/>
        </w:rPr>
        <w:t xml:space="preserve">periodicityAndOffset, duration, ssbFrequency </w:t>
      </w:r>
      <w:r w:rsidRPr="003A218A">
        <w:rPr>
          <w:b/>
        </w:rPr>
        <w:t>and</w:t>
      </w:r>
      <w:r w:rsidRPr="003A218A">
        <w:rPr>
          <w:b/>
          <w:i/>
        </w:rPr>
        <w:t xml:space="preserve"> ssb-ToMeasure</w:t>
      </w:r>
    </w:p>
    <w:p w14:paraId="18D275DB" w14:textId="056F2995" w:rsidR="00FC39CA" w:rsidRPr="00D90D43" w:rsidRDefault="00FC39CA" w:rsidP="00FC39CA">
      <w:pPr>
        <w:pStyle w:val="a0"/>
        <w:rPr>
          <w:rFonts w:eastAsia="宋体"/>
          <w:b/>
          <w:lang w:eastAsia="zh-CN"/>
        </w:rPr>
      </w:pPr>
      <w:r>
        <w:rPr>
          <w:b/>
        </w:rPr>
        <w:t xml:space="preserve">Proposal 5: Further study on </w:t>
      </w:r>
      <w:r w:rsidRPr="00FC39CA">
        <w:rPr>
          <w:b/>
        </w:rPr>
        <w:t>prioritizing</w:t>
      </w:r>
      <w:r>
        <w:rPr>
          <w:b/>
        </w:rPr>
        <w:t xml:space="preserve"> STC or</w:t>
      </w:r>
      <w:r w:rsidRPr="00FC39CA">
        <w:rPr>
          <w:b/>
        </w:rPr>
        <w:t xml:space="preserve"> SMTC</w:t>
      </w:r>
      <w:r w:rsidR="00F62C64">
        <w:rPr>
          <w:b/>
        </w:rPr>
        <w:t xml:space="preserve"> </w:t>
      </w:r>
      <w:r w:rsidR="00F62C64">
        <w:rPr>
          <w:b/>
        </w:rPr>
        <w:t>for different cases</w:t>
      </w:r>
      <w:r>
        <w:rPr>
          <w:b/>
        </w:rPr>
        <w:t>.</w:t>
      </w:r>
    </w:p>
    <w:p w14:paraId="322F5449" w14:textId="2D562212" w:rsidR="004B09AA" w:rsidRPr="00CC3063" w:rsidRDefault="004B09AA" w:rsidP="004B09AA">
      <w:pPr>
        <w:pStyle w:val="a0"/>
        <w:rPr>
          <w:rFonts w:eastAsia="宋体"/>
          <w:lang w:eastAsia="zh-CN"/>
        </w:rPr>
      </w:pPr>
    </w:p>
    <w:sectPr w:rsidR="004B09AA" w:rsidRPr="00CC3063">
      <w:headerReference w:type="default" r:id="rId8"/>
      <w:footerReference w:type="default" r:id="rId9"/>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6E12D3" w14:textId="77777777" w:rsidR="001C307E" w:rsidRDefault="001C307E">
      <w:r>
        <w:separator/>
      </w:r>
    </w:p>
  </w:endnote>
  <w:endnote w:type="continuationSeparator" w:id="0">
    <w:p w14:paraId="58DAF353" w14:textId="77777777" w:rsidR="001C307E" w:rsidRDefault="001C307E">
      <w:r>
        <w:continuationSeparator/>
      </w:r>
    </w:p>
  </w:endnote>
  <w:endnote w:type="continuationNotice" w:id="1">
    <w:p w14:paraId="698E1D32" w14:textId="77777777" w:rsidR="001C307E" w:rsidRDefault="001C30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ZapfDingbats">
    <w:charset w:val="02"/>
    <w:family w:val="decorative"/>
    <w:pitch w:val="default"/>
    <w:sig w:usb0="00000000" w:usb1="0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EC95A5" w14:textId="1F1B6924" w:rsidR="00FB411C" w:rsidRPr="00E7456F" w:rsidRDefault="00FB411C" w:rsidP="00E7456F">
    <w:pPr>
      <w:pStyle w:val="ab"/>
      <w:jc w:val="center"/>
    </w:pPr>
    <w:r>
      <w:rPr>
        <w:rStyle w:val="ac"/>
      </w:rPr>
      <w:fldChar w:fldCharType="begin"/>
    </w:r>
    <w:r>
      <w:rPr>
        <w:rStyle w:val="ac"/>
      </w:rPr>
      <w:instrText xml:space="preserve"> PAGE </w:instrText>
    </w:r>
    <w:r>
      <w:rPr>
        <w:rStyle w:val="ac"/>
      </w:rPr>
      <w:fldChar w:fldCharType="separate"/>
    </w:r>
    <w:r w:rsidR="00F62C64">
      <w:rPr>
        <w:rStyle w:val="ac"/>
        <w:noProof/>
      </w:rPr>
      <w:t>3</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F62C64">
      <w:rPr>
        <w:rStyle w:val="ac"/>
        <w:noProof/>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3F7254" w14:textId="77777777" w:rsidR="001C307E" w:rsidRDefault="001C307E">
      <w:r>
        <w:separator/>
      </w:r>
    </w:p>
  </w:footnote>
  <w:footnote w:type="continuationSeparator" w:id="0">
    <w:p w14:paraId="131E4753" w14:textId="77777777" w:rsidR="001C307E" w:rsidRDefault="001C307E">
      <w:r>
        <w:continuationSeparator/>
      </w:r>
    </w:p>
  </w:footnote>
  <w:footnote w:type="continuationNotice" w:id="1">
    <w:p w14:paraId="04FFA449" w14:textId="77777777" w:rsidR="001C307E" w:rsidRDefault="001C307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3218FD" w14:textId="77777777" w:rsidR="008C0A66" w:rsidRDefault="008C0A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50A1359"/>
    <w:multiLevelType w:val="hybridMultilevel"/>
    <w:tmpl w:val="EFECC1CA"/>
    <w:lvl w:ilvl="0" w:tplc="E4DC6A2A">
      <w:start w:val="1"/>
      <w:numFmt w:val="bullet"/>
      <w:lvlText w:val="•"/>
      <w:lvlJc w:val="left"/>
      <w:pPr>
        <w:tabs>
          <w:tab w:val="num" w:pos="360"/>
        </w:tabs>
        <w:ind w:left="360" w:hanging="360"/>
      </w:pPr>
      <w:rPr>
        <w:rFonts w:ascii="Arial" w:hAnsi="Arial" w:hint="default"/>
      </w:rPr>
    </w:lvl>
    <w:lvl w:ilvl="1" w:tplc="4B767844">
      <w:start w:val="1"/>
      <w:numFmt w:val="bullet"/>
      <w:lvlText w:val="•"/>
      <w:lvlJc w:val="left"/>
      <w:pPr>
        <w:tabs>
          <w:tab w:val="num" w:pos="1080"/>
        </w:tabs>
        <w:ind w:left="1080" w:hanging="360"/>
      </w:pPr>
      <w:rPr>
        <w:rFonts w:ascii="Arial" w:hAnsi="Arial" w:hint="default"/>
      </w:rPr>
    </w:lvl>
    <w:lvl w:ilvl="2" w:tplc="4BF679CC">
      <w:numFmt w:val="bullet"/>
      <w:lvlText w:val="•"/>
      <w:lvlJc w:val="left"/>
      <w:pPr>
        <w:tabs>
          <w:tab w:val="num" w:pos="1800"/>
        </w:tabs>
        <w:ind w:left="1800" w:hanging="360"/>
      </w:pPr>
      <w:rPr>
        <w:rFonts w:ascii="Arial" w:hAnsi="Arial" w:hint="default"/>
      </w:rPr>
    </w:lvl>
    <w:lvl w:ilvl="3" w:tplc="0DA28410">
      <w:numFmt w:val="bullet"/>
      <w:lvlText w:val="–"/>
      <w:lvlJc w:val="left"/>
      <w:pPr>
        <w:tabs>
          <w:tab w:val="num" w:pos="2520"/>
        </w:tabs>
        <w:ind w:left="2520" w:hanging="360"/>
      </w:pPr>
      <w:rPr>
        <w:rFonts w:ascii="Arial" w:hAnsi="Arial" w:hint="default"/>
      </w:rPr>
    </w:lvl>
    <w:lvl w:ilvl="4" w:tplc="FFE8FAC4" w:tentative="1">
      <w:start w:val="1"/>
      <w:numFmt w:val="bullet"/>
      <w:lvlText w:val="•"/>
      <w:lvlJc w:val="left"/>
      <w:pPr>
        <w:tabs>
          <w:tab w:val="num" w:pos="3240"/>
        </w:tabs>
        <w:ind w:left="3240" w:hanging="360"/>
      </w:pPr>
      <w:rPr>
        <w:rFonts w:ascii="Arial" w:hAnsi="Arial" w:hint="default"/>
      </w:rPr>
    </w:lvl>
    <w:lvl w:ilvl="5" w:tplc="BD2A890C" w:tentative="1">
      <w:start w:val="1"/>
      <w:numFmt w:val="bullet"/>
      <w:lvlText w:val="•"/>
      <w:lvlJc w:val="left"/>
      <w:pPr>
        <w:tabs>
          <w:tab w:val="num" w:pos="3960"/>
        </w:tabs>
        <w:ind w:left="3960" w:hanging="360"/>
      </w:pPr>
      <w:rPr>
        <w:rFonts w:ascii="Arial" w:hAnsi="Arial" w:hint="default"/>
      </w:rPr>
    </w:lvl>
    <w:lvl w:ilvl="6" w:tplc="2AC63C3C" w:tentative="1">
      <w:start w:val="1"/>
      <w:numFmt w:val="bullet"/>
      <w:lvlText w:val="•"/>
      <w:lvlJc w:val="left"/>
      <w:pPr>
        <w:tabs>
          <w:tab w:val="num" w:pos="4680"/>
        </w:tabs>
        <w:ind w:left="4680" w:hanging="360"/>
      </w:pPr>
      <w:rPr>
        <w:rFonts w:ascii="Arial" w:hAnsi="Arial" w:hint="default"/>
      </w:rPr>
    </w:lvl>
    <w:lvl w:ilvl="7" w:tplc="40684794" w:tentative="1">
      <w:start w:val="1"/>
      <w:numFmt w:val="bullet"/>
      <w:lvlText w:val="•"/>
      <w:lvlJc w:val="left"/>
      <w:pPr>
        <w:tabs>
          <w:tab w:val="num" w:pos="5400"/>
        </w:tabs>
        <w:ind w:left="5400" w:hanging="360"/>
      </w:pPr>
      <w:rPr>
        <w:rFonts w:ascii="Arial" w:hAnsi="Arial" w:hint="default"/>
      </w:rPr>
    </w:lvl>
    <w:lvl w:ilvl="8" w:tplc="8360739A" w:tentative="1">
      <w:start w:val="1"/>
      <w:numFmt w:val="bullet"/>
      <w:lvlText w:val="•"/>
      <w:lvlJc w:val="left"/>
      <w:pPr>
        <w:tabs>
          <w:tab w:val="num" w:pos="6120"/>
        </w:tabs>
        <w:ind w:left="6120" w:hanging="360"/>
      </w:pPr>
      <w:rPr>
        <w:rFonts w:ascii="Arial" w:hAnsi="Arial" w:hint="default"/>
      </w:rPr>
    </w:lvl>
  </w:abstractNum>
  <w:abstractNum w:abstractNumId="2">
    <w:nsid w:val="059B2992"/>
    <w:multiLevelType w:val="hybridMultilevel"/>
    <w:tmpl w:val="F788B3E4"/>
    <w:lvl w:ilvl="0" w:tplc="B312338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5F51C8"/>
    <w:multiLevelType w:val="hybridMultilevel"/>
    <w:tmpl w:val="9DECF024"/>
    <w:lvl w:ilvl="0" w:tplc="D892EFE2">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nsid w:val="12951320"/>
    <w:multiLevelType w:val="hybridMultilevel"/>
    <w:tmpl w:val="A9406B10"/>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3584055"/>
    <w:multiLevelType w:val="hybridMultilevel"/>
    <w:tmpl w:val="80826634"/>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C9363D"/>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21D7DDF"/>
    <w:multiLevelType w:val="hybridMultilevel"/>
    <w:tmpl w:val="2EE46252"/>
    <w:lvl w:ilvl="0" w:tplc="D892EFE2">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6D74C2C"/>
    <w:multiLevelType w:val="hybridMultilevel"/>
    <w:tmpl w:val="D152DA2A"/>
    <w:lvl w:ilvl="0" w:tplc="3E800DB4">
      <w:start w:val="1"/>
      <w:numFmt w:val="bullet"/>
      <w:lvlText w:val="-"/>
      <w:lvlJc w:val="left"/>
      <w:pPr>
        <w:ind w:left="660" w:hanging="420"/>
      </w:pPr>
      <w:rPr>
        <w:rFonts w:ascii="Verdana" w:hAnsi="Verdana"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0">
    <w:nsid w:val="37C42496"/>
    <w:multiLevelType w:val="hybridMultilevel"/>
    <w:tmpl w:val="7DBAE98E"/>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9A4186A"/>
    <w:multiLevelType w:val="hybridMultilevel"/>
    <w:tmpl w:val="3B1AB8DA"/>
    <w:lvl w:ilvl="0" w:tplc="26481FBA">
      <w:start w:val="1"/>
      <w:numFmt w:val="bullet"/>
      <w:lvlText w:val="-"/>
      <w:lvlJc w:val="left"/>
      <w:pPr>
        <w:ind w:left="420" w:hanging="420"/>
      </w:pPr>
      <w:rPr>
        <w:rFonts w:ascii="Verdana" w:hAnsi="Verdana" w:hint="default"/>
        <w:lang w:val="fr-FR"/>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48292A"/>
    <w:multiLevelType w:val="hybridMultilevel"/>
    <w:tmpl w:val="EC6A1BDA"/>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B68397E"/>
    <w:multiLevelType w:val="hybridMultilevel"/>
    <w:tmpl w:val="B260884A"/>
    <w:lvl w:ilvl="0" w:tplc="D892EFE2">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D3130F6"/>
    <w:multiLevelType w:val="hybridMultilevel"/>
    <w:tmpl w:val="027822C0"/>
    <w:lvl w:ilvl="0" w:tplc="D892EFE2">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F4621DB"/>
    <w:multiLevelType w:val="hybridMultilevel"/>
    <w:tmpl w:val="F2C29402"/>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19E160B"/>
    <w:multiLevelType w:val="hybridMultilevel"/>
    <w:tmpl w:val="CFAECA9E"/>
    <w:lvl w:ilvl="0" w:tplc="04987BAE">
      <w:start w:val="1"/>
      <w:numFmt w:val="bullet"/>
      <w:lvlText w:val="-"/>
      <w:lvlJc w:val="left"/>
      <w:pPr>
        <w:ind w:left="420" w:hanging="420"/>
      </w:pPr>
      <w:rPr>
        <w:rFonts w:ascii="Calibri" w:eastAsia="Times New Roman"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nsid w:val="4CCF544A"/>
    <w:multiLevelType w:val="multilevel"/>
    <w:tmpl w:val="E9888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4D9475E7"/>
    <w:multiLevelType w:val="hybridMultilevel"/>
    <w:tmpl w:val="E884AB3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491625B"/>
    <w:multiLevelType w:val="hybridMultilevel"/>
    <w:tmpl w:val="1B1EC398"/>
    <w:lvl w:ilvl="0" w:tplc="D892EFE2">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5705801"/>
    <w:multiLevelType w:val="hybridMultilevel"/>
    <w:tmpl w:val="BFC6912C"/>
    <w:lvl w:ilvl="0" w:tplc="D892EFE2">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853185D"/>
    <w:multiLevelType w:val="hybridMultilevel"/>
    <w:tmpl w:val="D3E46FF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47B71C4"/>
    <w:multiLevelType w:val="hybridMultilevel"/>
    <w:tmpl w:val="792C087A"/>
    <w:lvl w:ilvl="0" w:tplc="D892EFE2">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8260F2B"/>
    <w:multiLevelType w:val="hybridMultilevel"/>
    <w:tmpl w:val="8AAEBB36"/>
    <w:lvl w:ilvl="0" w:tplc="D892EFE2">
      <w:numFmt w:val="bullet"/>
      <w:lvlText w:val="-"/>
      <w:lvlJc w:val="left"/>
      <w:pPr>
        <w:ind w:left="36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0">
    <w:nsid w:val="7F14646D"/>
    <w:multiLevelType w:val="hybridMultilevel"/>
    <w:tmpl w:val="67C20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0"/>
  </w:num>
  <w:num w:numId="3">
    <w:abstractNumId w:val="28"/>
  </w:num>
  <w:num w:numId="4">
    <w:abstractNumId w:val="4"/>
  </w:num>
  <w:num w:numId="5">
    <w:abstractNumId w:val="24"/>
  </w:num>
  <w:num w:numId="6">
    <w:abstractNumId w:val="11"/>
  </w:num>
  <w:num w:numId="7">
    <w:abstractNumId w:val="23"/>
  </w:num>
  <w:num w:numId="8">
    <w:abstractNumId w:val="1"/>
  </w:num>
  <w:num w:numId="9">
    <w:abstractNumId w:val="9"/>
  </w:num>
  <w:num w:numId="10">
    <w:abstractNumId w:val="20"/>
  </w:num>
  <w:num w:numId="11">
    <w:abstractNumId w:val="12"/>
  </w:num>
  <w:num w:numId="12">
    <w:abstractNumId w:val="18"/>
  </w:num>
  <w:num w:numId="13">
    <w:abstractNumId w:val="16"/>
  </w:num>
  <w:num w:numId="14">
    <w:abstractNumId w:val="19"/>
  </w:num>
  <w:num w:numId="15">
    <w:abstractNumId w:val="15"/>
  </w:num>
  <w:num w:numId="16">
    <w:abstractNumId w:val="25"/>
  </w:num>
  <w:num w:numId="17">
    <w:abstractNumId w:val="5"/>
  </w:num>
  <w:num w:numId="18">
    <w:abstractNumId w:val="6"/>
  </w:num>
  <w:num w:numId="19">
    <w:abstractNumId w:val="27"/>
  </w:num>
  <w:num w:numId="20">
    <w:abstractNumId w:val="8"/>
  </w:num>
  <w:num w:numId="21">
    <w:abstractNumId w:val="13"/>
  </w:num>
  <w:num w:numId="22">
    <w:abstractNumId w:val="17"/>
  </w:num>
  <w:num w:numId="23">
    <w:abstractNumId w:val="26"/>
  </w:num>
  <w:num w:numId="24">
    <w:abstractNumId w:val="3"/>
  </w:num>
  <w:num w:numId="25">
    <w:abstractNumId w:val="7"/>
  </w:num>
  <w:num w:numId="26">
    <w:abstractNumId w:val="2"/>
  </w:num>
  <w:num w:numId="27">
    <w:abstractNumId w:val="30"/>
  </w:num>
  <w:num w:numId="28">
    <w:abstractNumId w:val="22"/>
  </w:num>
  <w:num w:numId="29">
    <w:abstractNumId w:val="14"/>
  </w:num>
  <w:num w:numId="30">
    <w:abstractNumId w:val="21"/>
  </w:num>
  <w:num w:numId="31">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0DA0"/>
    <w:rsid w:val="0000279E"/>
    <w:rsid w:val="00004DD6"/>
    <w:rsid w:val="000054C0"/>
    <w:rsid w:val="00005B9C"/>
    <w:rsid w:val="000100CC"/>
    <w:rsid w:val="00014788"/>
    <w:rsid w:val="00017714"/>
    <w:rsid w:val="00017F21"/>
    <w:rsid w:val="00022CB4"/>
    <w:rsid w:val="0002462D"/>
    <w:rsid w:val="00024A15"/>
    <w:rsid w:val="000273FD"/>
    <w:rsid w:val="0002784B"/>
    <w:rsid w:val="00032856"/>
    <w:rsid w:val="00032BE2"/>
    <w:rsid w:val="00033B21"/>
    <w:rsid w:val="00034348"/>
    <w:rsid w:val="00037587"/>
    <w:rsid w:val="000377D9"/>
    <w:rsid w:val="0004051F"/>
    <w:rsid w:val="00041699"/>
    <w:rsid w:val="000437BF"/>
    <w:rsid w:val="00046452"/>
    <w:rsid w:val="00046F4A"/>
    <w:rsid w:val="0005100C"/>
    <w:rsid w:val="0005168C"/>
    <w:rsid w:val="00051C62"/>
    <w:rsid w:val="00052402"/>
    <w:rsid w:val="000528A1"/>
    <w:rsid w:val="00053DF5"/>
    <w:rsid w:val="00055ACB"/>
    <w:rsid w:val="00055FCB"/>
    <w:rsid w:val="00062D7E"/>
    <w:rsid w:val="000636C4"/>
    <w:rsid w:val="00072B01"/>
    <w:rsid w:val="00074060"/>
    <w:rsid w:val="00076E96"/>
    <w:rsid w:val="0007708D"/>
    <w:rsid w:val="000773F6"/>
    <w:rsid w:val="00080662"/>
    <w:rsid w:val="000855F8"/>
    <w:rsid w:val="00085868"/>
    <w:rsid w:val="00095318"/>
    <w:rsid w:val="000958B4"/>
    <w:rsid w:val="00095BBB"/>
    <w:rsid w:val="000969C4"/>
    <w:rsid w:val="00096DAC"/>
    <w:rsid w:val="000A05CD"/>
    <w:rsid w:val="000A18B2"/>
    <w:rsid w:val="000A5466"/>
    <w:rsid w:val="000A64CB"/>
    <w:rsid w:val="000A66F1"/>
    <w:rsid w:val="000A7506"/>
    <w:rsid w:val="000B01B5"/>
    <w:rsid w:val="000B0B02"/>
    <w:rsid w:val="000B31CF"/>
    <w:rsid w:val="000B3979"/>
    <w:rsid w:val="000B3BAB"/>
    <w:rsid w:val="000B3E4E"/>
    <w:rsid w:val="000B4819"/>
    <w:rsid w:val="000B55E6"/>
    <w:rsid w:val="000B5BB8"/>
    <w:rsid w:val="000B6313"/>
    <w:rsid w:val="000C2C02"/>
    <w:rsid w:val="000C6C83"/>
    <w:rsid w:val="000C733F"/>
    <w:rsid w:val="000D515E"/>
    <w:rsid w:val="000D5208"/>
    <w:rsid w:val="000D57AB"/>
    <w:rsid w:val="000D5CAF"/>
    <w:rsid w:val="000D668C"/>
    <w:rsid w:val="000D6CAA"/>
    <w:rsid w:val="000D6F08"/>
    <w:rsid w:val="000D7313"/>
    <w:rsid w:val="000D7F0F"/>
    <w:rsid w:val="000E189F"/>
    <w:rsid w:val="000E22D3"/>
    <w:rsid w:val="000E2EA4"/>
    <w:rsid w:val="000E3E99"/>
    <w:rsid w:val="000E5C66"/>
    <w:rsid w:val="000E5FCE"/>
    <w:rsid w:val="000E7848"/>
    <w:rsid w:val="000F0DB3"/>
    <w:rsid w:val="000F162C"/>
    <w:rsid w:val="000F20E6"/>
    <w:rsid w:val="000F5307"/>
    <w:rsid w:val="000F6D45"/>
    <w:rsid w:val="000F7E9E"/>
    <w:rsid w:val="0010065D"/>
    <w:rsid w:val="00100712"/>
    <w:rsid w:val="00103D3A"/>
    <w:rsid w:val="00104824"/>
    <w:rsid w:val="00106082"/>
    <w:rsid w:val="0010634F"/>
    <w:rsid w:val="00107CC3"/>
    <w:rsid w:val="001103E3"/>
    <w:rsid w:val="00110BDC"/>
    <w:rsid w:val="00110E71"/>
    <w:rsid w:val="00111D52"/>
    <w:rsid w:val="00112AB0"/>
    <w:rsid w:val="00112C61"/>
    <w:rsid w:val="001131E4"/>
    <w:rsid w:val="00114348"/>
    <w:rsid w:val="0011627E"/>
    <w:rsid w:val="00120395"/>
    <w:rsid w:val="001220CE"/>
    <w:rsid w:val="00122DC7"/>
    <w:rsid w:val="00123920"/>
    <w:rsid w:val="00123FA2"/>
    <w:rsid w:val="001256FC"/>
    <w:rsid w:val="00127E57"/>
    <w:rsid w:val="00130B4A"/>
    <w:rsid w:val="001316E0"/>
    <w:rsid w:val="00131A4A"/>
    <w:rsid w:val="00133CFB"/>
    <w:rsid w:val="00134261"/>
    <w:rsid w:val="00134D51"/>
    <w:rsid w:val="00134F4C"/>
    <w:rsid w:val="00141CC8"/>
    <w:rsid w:val="00142059"/>
    <w:rsid w:val="001428AB"/>
    <w:rsid w:val="001457AC"/>
    <w:rsid w:val="001460A1"/>
    <w:rsid w:val="001460C0"/>
    <w:rsid w:val="00147E5D"/>
    <w:rsid w:val="00147F65"/>
    <w:rsid w:val="00150A25"/>
    <w:rsid w:val="00151437"/>
    <w:rsid w:val="001530FD"/>
    <w:rsid w:val="001531D8"/>
    <w:rsid w:val="0015335C"/>
    <w:rsid w:val="001537C6"/>
    <w:rsid w:val="001554AC"/>
    <w:rsid w:val="001565F5"/>
    <w:rsid w:val="00160B53"/>
    <w:rsid w:val="0016180C"/>
    <w:rsid w:val="00161B07"/>
    <w:rsid w:val="00161C70"/>
    <w:rsid w:val="00165ABE"/>
    <w:rsid w:val="00166DFC"/>
    <w:rsid w:val="00167548"/>
    <w:rsid w:val="00171099"/>
    <w:rsid w:val="00171298"/>
    <w:rsid w:val="001722F6"/>
    <w:rsid w:val="00173200"/>
    <w:rsid w:val="0017424D"/>
    <w:rsid w:val="00174729"/>
    <w:rsid w:val="00180061"/>
    <w:rsid w:val="00181F2E"/>
    <w:rsid w:val="00184C16"/>
    <w:rsid w:val="00184EF0"/>
    <w:rsid w:val="00190C90"/>
    <w:rsid w:val="0019151A"/>
    <w:rsid w:val="00191EFE"/>
    <w:rsid w:val="001928B8"/>
    <w:rsid w:val="00192BE0"/>
    <w:rsid w:val="00193B07"/>
    <w:rsid w:val="00193CB3"/>
    <w:rsid w:val="00195826"/>
    <w:rsid w:val="00195A32"/>
    <w:rsid w:val="0019617E"/>
    <w:rsid w:val="001A03F5"/>
    <w:rsid w:val="001A0607"/>
    <w:rsid w:val="001A14AA"/>
    <w:rsid w:val="001A3365"/>
    <w:rsid w:val="001A4B6E"/>
    <w:rsid w:val="001A68BF"/>
    <w:rsid w:val="001A71A6"/>
    <w:rsid w:val="001B283F"/>
    <w:rsid w:val="001B5566"/>
    <w:rsid w:val="001C1358"/>
    <w:rsid w:val="001C1508"/>
    <w:rsid w:val="001C2127"/>
    <w:rsid w:val="001C2481"/>
    <w:rsid w:val="001C29E8"/>
    <w:rsid w:val="001C2EB9"/>
    <w:rsid w:val="001C307E"/>
    <w:rsid w:val="001C352F"/>
    <w:rsid w:val="001C4D12"/>
    <w:rsid w:val="001C5354"/>
    <w:rsid w:val="001C60C0"/>
    <w:rsid w:val="001C6F50"/>
    <w:rsid w:val="001C76AC"/>
    <w:rsid w:val="001D1E28"/>
    <w:rsid w:val="001D39E9"/>
    <w:rsid w:val="001D4EF1"/>
    <w:rsid w:val="001D68AB"/>
    <w:rsid w:val="001D6B18"/>
    <w:rsid w:val="001D6C22"/>
    <w:rsid w:val="001D79F6"/>
    <w:rsid w:val="001D7A31"/>
    <w:rsid w:val="001E3E02"/>
    <w:rsid w:val="001E3FF2"/>
    <w:rsid w:val="001E6A17"/>
    <w:rsid w:val="001E6D77"/>
    <w:rsid w:val="001E7A31"/>
    <w:rsid w:val="001F0B80"/>
    <w:rsid w:val="001F145D"/>
    <w:rsid w:val="001F20D7"/>
    <w:rsid w:val="001F2167"/>
    <w:rsid w:val="001F358A"/>
    <w:rsid w:val="001F74FB"/>
    <w:rsid w:val="002016AF"/>
    <w:rsid w:val="00203254"/>
    <w:rsid w:val="00204993"/>
    <w:rsid w:val="00204FA1"/>
    <w:rsid w:val="00205120"/>
    <w:rsid w:val="00207141"/>
    <w:rsid w:val="00211138"/>
    <w:rsid w:val="0021133F"/>
    <w:rsid w:val="002115E3"/>
    <w:rsid w:val="0021248D"/>
    <w:rsid w:val="002129B0"/>
    <w:rsid w:val="00214AF1"/>
    <w:rsid w:val="00220E0C"/>
    <w:rsid w:val="00221976"/>
    <w:rsid w:val="00222E3F"/>
    <w:rsid w:val="00224A14"/>
    <w:rsid w:val="0022538D"/>
    <w:rsid w:val="00226DC1"/>
    <w:rsid w:val="002310ED"/>
    <w:rsid w:val="002319FC"/>
    <w:rsid w:val="002321A9"/>
    <w:rsid w:val="0023460C"/>
    <w:rsid w:val="00235B7E"/>
    <w:rsid w:val="00235D5B"/>
    <w:rsid w:val="00241153"/>
    <w:rsid w:val="0024448A"/>
    <w:rsid w:val="00247106"/>
    <w:rsid w:val="002477F2"/>
    <w:rsid w:val="00247D96"/>
    <w:rsid w:val="00250D1E"/>
    <w:rsid w:val="002535F9"/>
    <w:rsid w:val="00253A5B"/>
    <w:rsid w:val="00255AFA"/>
    <w:rsid w:val="002569E2"/>
    <w:rsid w:val="002574D7"/>
    <w:rsid w:val="00257783"/>
    <w:rsid w:val="00260401"/>
    <w:rsid w:val="002609E8"/>
    <w:rsid w:val="0026135B"/>
    <w:rsid w:val="0026304A"/>
    <w:rsid w:val="00263236"/>
    <w:rsid w:val="00265AB1"/>
    <w:rsid w:val="00265E6D"/>
    <w:rsid w:val="002706A5"/>
    <w:rsid w:val="00272EE2"/>
    <w:rsid w:val="00273ECB"/>
    <w:rsid w:val="00274325"/>
    <w:rsid w:val="00274F32"/>
    <w:rsid w:val="002754DF"/>
    <w:rsid w:val="00276F5A"/>
    <w:rsid w:val="00281B1F"/>
    <w:rsid w:val="00281F85"/>
    <w:rsid w:val="0028228E"/>
    <w:rsid w:val="002823DF"/>
    <w:rsid w:val="00283304"/>
    <w:rsid w:val="00284106"/>
    <w:rsid w:val="00284B36"/>
    <w:rsid w:val="00285517"/>
    <w:rsid w:val="00285FCD"/>
    <w:rsid w:val="0028655C"/>
    <w:rsid w:val="002907CA"/>
    <w:rsid w:val="00294595"/>
    <w:rsid w:val="002954C3"/>
    <w:rsid w:val="00296D86"/>
    <w:rsid w:val="002974E9"/>
    <w:rsid w:val="002A0313"/>
    <w:rsid w:val="002A0563"/>
    <w:rsid w:val="002A1B1F"/>
    <w:rsid w:val="002A29D3"/>
    <w:rsid w:val="002A313D"/>
    <w:rsid w:val="002A511C"/>
    <w:rsid w:val="002A6322"/>
    <w:rsid w:val="002A7EA8"/>
    <w:rsid w:val="002B0AF1"/>
    <w:rsid w:val="002B0DDA"/>
    <w:rsid w:val="002B106F"/>
    <w:rsid w:val="002B34B3"/>
    <w:rsid w:val="002B4E57"/>
    <w:rsid w:val="002B57CE"/>
    <w:rsid w:val="002C007D"/>
    <w:rsid w:val="002C0219"/>
    <w:rsid w:val="002C0304"/>
    <w:rsid w:val="002C1E06"/>
    <w:rsid w:val="002C1FD7"/>
    <w:rsid w:val="002C3299"/>
    <w:rsid w:val="002C3E24"/>
    <w:rsid w:val="002C453A"/>
    <w:rsid w:val="002C455D"/>
    <w:rsid w:val="002C4923"/>
    <w:rsid w:val="002C5AD6"/>
    <w:rsid w:val="002C625D"/>
    <w:rsid w:val="002C62BE"/>
    <w:rsid w:val="002C7CE9"/>
    <w:rsid w:val="002D1686"/>
    <w:rsid w:val="002D22DD"/>
    <w:rsid w:val="002D2C8C"/>
    <w:rsid w:val="002D3A83"/>
    <w:rsid w:val="002D5ECC"/>
    <w:rsid w:val="002E12CF"/>
    <w:rsid w:val="002E5303"/>
    <w:rsid w:val="002E755D"/>
    <w:rsid w:val="002E7C0F"/>
    <w:rsid w:val="002F1A38"/>
    <w:rsid w:val="002F1A77"/>
    <w:rsid w:val="002F2BAD"/>
    <w:rsid w:val="002F2E09"/>
    <w:rsid w:val="002F30B2"/>
    <w:rsid w:val="002F3308"/>
    <w:rsid w:val="002F6925"/>
    <w:rsid w:val="00300DC1"/>
    <w:rsid w:val="00303528"/>
    <w:rsid w:val="00303AED"/>
    <w:rsid w:val="003040FA"/>
    <w:rsid w:val="003048A7"/>
    <w:rsid w:val="0030544C"/>
    <w:rsid w:val="003063BF"/>
    <w:rsid w:val="00307475"/>
    <w:rsid w:val="0031342C"/>
    <w:rsid w:val="003139EC"/>
    <w:rsid w:val="003141DE"/>
    <w:rsid w:val="00316981"/>
    <w:rsid w:val="00317265"/>
    <w:rsid w:val="00321581"/>
    <w:rsid w:val="00323A1D"/>
    <w:rsid w:val="00324299"/>
    <w:rsid w:val="00325875"/>
    <w:rsid w:val="003307CA"/>
    <w:rsid w:val="00330E13"/>
    <w:rsid w:val="0033267A"/>
    <w:rsid w:val="00333892"/>
    <w:rsid w:val="00333983"/>
    <w:rsid w:val="00334592"/>
    <w:rsid w:val="0034001B"/>
    <w:rsid w:val="00340E0F"/>
    <w:rsid w:val="00342983"/>
    <w:rsid w:val="003437D1"/>
    <w:rsid w:val="0034413A"/>
    <w:rsid w:val="00344AE4"/>
    <w:rsid w:val="00344E66"/>
    <w:rsid w:val="00346524"/>
    <w:rsid w:val="00346F06"/>
    <w:rsid w:val="00347C37"/>
    <w:rsid w:val="003506AB"/>
    <w:rsid w:val="00351183"/>
    <w:rsid w:val="0035314C"/>
    <w:rsid w:val="003554FE"/>
    <w:rsid w:val="00356453"/>
    <w:rsid w:val="003567C4"/>
    <w:rsid w:val="003604F9"/>
    <w:rsid w:val="0036151A"/>
    <w:rsid w:val="003631EB"/>
    <w:rsid w:val="00364D92"/>
    <w:rsid w:val="0036633B"/>
    <w:rsid w:val="0036761C"/>
    <w:rsid w:val="00367816"/>
    <w:rsid w:val="00367877"/>
    <w:rsid w:val="00370162"/>
    <w:rsid w:val="0037173A"/>
    <w:rsid w:val="00373BE7"/>
    <w:rsid w:val="00373DF3"/>
    <w:rsid w:val="0037513D"/>
    <w:rsid w:val="00375392"/>
    <w:rsid w:val="003773F8"/>
    <w:rsid w:val="00377FAD"/>
    <w:rsid w:val="003824C1"/>
    <w:rsid w:val="00382DB2"/>
    <w:rsid w:val="00390ECA"/>
    <w:rsid w:val="00395CD3"/>
    <w:rsid w:val="00397BCC"/>
    <w:rsid w:val="003A218A"/>
    <w:rsid w:val="003A39FB"/>
    <w:rsid w:val="003A66A5"/>
    <w:rsid w:val="003A7134"/>
    <w:rsid w:val="003B00EE"/>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F67"/>
    <w:rsid w:val="003C6709"/>
    <w:rsid w:val="003C70AC"/>
    <w:rsid w:val="003D1853"/>
    <w:rsid w:val="003D3518"/>
    <w:rsid w:val="003D3A81"/>
    <w:rsid w:val="003D418E"/>
    <w:rsid w:val="003D44CA"/>
    <w:rsid w:val="003D519E"/>
    <w:rsid w:val="003D7EE3"/>
    <w:rsid w:val="003E19AD"/>
    <w:rsid w:val="003E2409"/>
    <w:rsid w:val="003E2B89"/>
    <w:rsid w:val="003E2C05"/>
    <w:rsid w:val="003E3D90"/>
    <w:rsid w:val="003E5869"/>
    <w:rsid w:val="003E66C0"/>
    <w:rsid w:val="003E6E7D"/>
    <w:rsid w:val="003F1A46"/>
    <w:rsid w:val="003F4012"/>
    <w:rsid w:val="003F42F0"/>
    <w:rsid w:val="003F4CF2"/>
    <w:rsid w:val="003F5451"/>
    <w:rsid w:val="003F6368"/>
    <w:rsid w:val="003F65F4"/>
    <w:rsid w:val="003F671D"/>
    <w:rsid w:val="003F6B07"/>
    <w:rsid w:val="003F6EA9"/>
    <w:rsid w:val="003F707C"/>
    <w:rsid w:val="00400B6B"/>
    <w:rsid w:val="00401370"/>
    <w:rsid w:val="0040283B"/>
    <w:rsid w:val="0040335F"/>
    <w:rsid w:val="00403D2B"/>
    <w:rsid w:val="00403F09"/>
    <w:rsid w:val="00405630"/>
    <w:rsid w:val="00406253"/>
    <w:rsid w:val="00407F18"/>
    <w:rsid w:val="004127AD"/>
    <w:rsid w:val="00412E40"/>
    <w:rsid w:val="004139E7"/>
    <w:rsid w:val="00413AD0"/>
    <w:rsid w:val="004148DC"/>
    <w:rsid w:val="00415564"/>
    <w:rsid w:val="0041667B"/>
    <w:rsid w:val="00423300"/>
    <w:rsid w:val="004233B8"/>
    <w:rsid w:val="00423DCA"/>
    <w:rsid w:val="004249E7"/>
    <w:rsid w:val="00425DC9"/>
    <w:rsid w:val="00431839"/>
    <w:rsid w:val="00431E2A"/>
    <w:rsid w:val="00434B9F"/>
    <w:rsid w:val="00434E4E"/>
    <w:rsid w:val="004355F4"/>
    <w:rsid w:val="0043609C"/>
    <w:rsid w:val="0043726A"/>
    <w:rsid w:val="004405B2"/>
    <w:rsid w:val="00443756"/>
    <w:rsid w:val="004441E2"/>
    <w:rsid w:val="00444BD2"/>
    <w:rsid w:val="00446637"/>
    <w:rsid w:val="00450973"/>
    <w:rsid w:val="00451E00"/>
    <w:rsid w:val="00453995"/>
    <w:rsid w:val="004547B4"/>
    <w:rsid w:val="00461013"/>
    <w:rsid w:val="00463A1C"/>
    <w:rsid w:val="00463DC4"/>
    <w:rsid w:val="0046553C"/>
    <w:rsid w:val="00466123"/>
    <w:rsid w:val="00466BDD"/>
    <w:rsid w:val="00467A3F"/>
    <w:rsid w:val="004711D4"/>
    <w:rsid w:val="00471AD0"/>
    <w:rsid w:val="004720FB"/>
    <w:rsid w:val="00475283"/>
    <w:rsid w:val="00480916"/>
    <w:rsid w:val="00481E41"/>
    <w:rsid w:val="00481FB9"/>
    <w:rsid w:val="004831CD"/>
    <w:rsid w:val="00487AAD"/>
    <w:rsid w:val="00490F6A"/>
    <w:rsid w:val="00492704"/>
    <w:rsid w:val="0049327F"/>
    <w:rsid w:val="00494081"/>
    <w:rsid w:val="0049518F"/>
    <w:rsid w:val="00495F27"/>
    <w:rsid w:val="004A1149"/>
    <w:rsid w:val="004A3268"/>
    <w:rsid w:val="004A49D2"/>
    <w:rsid w:val="004A4A95"/>
    <w:rsid w:val="004A5113"/>
    <w:rsid w:val="004A6816"/>
    <w:rsid w:val="004A6E10"/>
    <w:rsid w:val="004A735F"/>
    <w:rsid w:val="004A73F2"/>
    <w:rsid w:val="004B0686"/>
    <w:rsid w:val="004B09AA"/>
    <w:rsid w:val="004B2F38"/>
    <w:rsid w:val="004B54AF"/>
    <w:rsid w:val="004B57CC"/>
    <w:rsid w:val="004B6341"/>
    <w:rsid w:val="004B677D"/>
    <w:rsid w:val="004B67F0"/>
    <w:rsid w:val="004B7BC7"/>
    <w:rsid w:val="004B7ED6"/>
    <w:rsid w:val="004C07C4"/>
    <w:rsid w:val="004C252D"/>
    <w:rsid w:val="004C2750"/>
    <w:rsid w:val="004C326A"/>
    <w:rsid w:val="004C3EA8"/>
    <w:rsid w:val="004C4C04"/>
    <w:rsid w:val="004C4ECC"/>
    <w:rsid w:val="004C5D5B"/>
    <w:rsid w:val="004D0070"/>
    <w:rsid w:val="004D020D"/>
    <w:rsid w:val="004D0F38"/>
    <w:rsid w:val="004D1B94"/>
    <w:rsid w:val="004D602D"/>
    <w:rsid w:val="004D7B88"/>
    <w:rsid w:val="004E04A6"/>
    <w:rsid w:val="004E236B"/>
    <w:rsid w:val="004E2615"/>
    <w:rsid w:val="004E2711"/>
    <w:rsid w:val="004E3572"/>
    <w:rsid w:val="004E3E32"/>
    <w:rsid w:val="004E462B"/>
    <w:rsid w:val="004E5C86"/>
    <w:rsid w:val="004E6C71"/>
    <w:rsid w:val="004E76FB"/>
    <w:rsid w:val="004F11D2"/>
    <w:rsid w:val="004F34C3"/>
    <w:rsid w:val="004F390D"/>
    <w:rsid w:val="004F43B7"/>
    <w:rsid w:val="004F5198"/>
    <w:rsid w:val="004F7FA9"/>
    <w:rsid w:val="00500FEC"/>
    <w:rsid w:val="00501114"/>
    <w:rsid w:val="00502B39"/>
    <w:rsid w:val="0050425E"/>
    <w:rsid w:val="00504524"/>
    <w:rsid w:val="00510403"/>
    <w:rsid w:val="00511644"/>
    <w:rsid w:val="00511D42"/>
    <w:rsid w:val="00513EE8"/>
    <w:rsid w:val="00514D60"/>
    <w:rsid w:val="0051799E"/>
    <w:rsid w:val="00517D9C"/>
    <w:rsid w:val="00522AAF"/>
    <w:rsid w:val="005245D8"/>
    <w:rsid w:val="00526A6C"/>
    <w:rsid w:val="00526EAA"/>
    <w:rsid w:val="0053079F"/>
    <w:rsid w:val="005318F9"/>
    <w:rsid w:val="00532D9F"/>
    <w:rsid w:val="00532E94"/>
    <w:rsid w:val="00533380"/>
    <w:rsid w:val="005345B5"/>
    <w:rsid w:val="00535A5E"/>
    <w:rsid w:val="00535F9D"/>
    <w:rsid w:val="005373E5"/>
    <w:rsid w:val="005410AD"/>
    <w:rsid w:val="00541C5C"/>
    <w:rsid w:val="00542F24"/>
    <w:rsid w:val="00543483"/>
    <w:rsid w:val="005436FA"/>
    <w:rsid w:val="00543FE1"/>
    <w:rsid w:val="005444E9"/>
    <w:rsid w:val="00546966"/>
    <w:rsid w:val="00547A31"/>
    <w:rsid w:val="00547B3A"/>
    <w:rsid w:val="00551185"/>
    <w:rsid w:val="00551928"/>
    <w:rsid w:val="005543C7"/>
    <w:rsid w:val="00555A24"/>
    <w:rsid w:val="00562AD2"/>
    <w:rsid w:val="00562DB5"/>
    <w:rsid w:val="00565FF9"/>
    <w:rsid w:val="00566AB9"/>
    <w:rsid w:val="00570251"/>
    <w:rsid w:val="00572A00"/>
    <w:rsid w:val="00572ABC"/>
    <w:rsid w:val="00575405"/>
    <w:rsid w:val="005802C5"/>
    <w:rsid w:val="00581A9B"/>
    <w:rsid w:val="005838EB"/>
    <w:rsid w:val="00585407"/>
    <w:rsid w:val="00585BA1"/>
    <w:rsid w:val="00586508"/>
    <w:rsid w:val="00591A4B"/>
    <w:rsid w:val="00592353"/>
    <w:rsid w:val="00593295"/>
    <w:rsid w:val="005939A6"/>
    <w:rsid w:val="00593FA1"/>
    <w:rsid w:val="00597EBD"/>
    <w:rsid w:val="005A00E5"/>
    <w:rsid w:val="005A04F8"/>
    <w:rsid w:val="005A17B9"/>
    <w:rsid w:val="005A1A32"/>
    <w:rsid w:val="005A1B4C"/>
    <w:rsid w:val="005A1D98"/>
    <w:rsid w:val="005A20D0"/>
    <w:rsid w:val="005A424B"/>
    <w:rsid w:val="005A4865"/>
    <w:rsid w:val="005A4BD1"/>
    <w:rsid w:val="005B04BD"/>
    <w:rsid w:val="005B48F0"/>
    <w:rsid w:val="005B7089"/>
    <w:rsid w:val="005C324E"/>
    <w:rsid w:val="005C4474"/>
    <w:rsid w:val="005C4781"/>
    <w:rsid w:val="005C5A45"/>
    <w:rsid w:val="005C6F75"/>
    <w:rsid w:val="005C7BFF"/>
    <w:rsid w:val="005D0E44"/>
    <w:rsid w:val="005D25B3"/>
    <w:rsid w:val="005D25DE"/>
    <w:rsid w:val="005D389D"/>
    <w:rsid w:val="005D63F1"/>
    <w:rsid w:val="005D6636"/>
    <w:rsid w:val="005D7AEA"/>
    <w:rsid w:val="005E142E"/>
    <w:rsid w:val="005E1E11"/>
    <w:rsid w:val="005E33CC"/>
    <w:rsid w:val="005E3AA6"/>
    <w:rsid w:val="005F279F"/>
    <w:rsid w:val="005F3780"/>
    <w:rsid w:val="005F64E9"/>
    <w:rsid w:val="005F70CC"/>
    <w:rsid w:val="006026D9"/>
    <w:rsid w:val="00603893"/>
    <w:rsid w:val="006039F5"/>
    <w:rsid w:val="00603DCE"/>
    <w:rsid w:val="00604D80"/>
    <w:rsid w:val="006060E6"/>
    <w:rsid w:val="00607341"/>
    <w:rsid w:val="00607EE0"/>
    <w:rsid w:val="00611084"/>
    <w:rsid w:val="006136AC"/>
    <w:rsid w:val="00613930"/>
    <w:rsid w:val="0061440B"/>
    <w:rsid w:val="00616117"/>
    <w:rsid w:val="00617B2E"/>
    <w:rsid w:val="006208F6"/>
    <w:rsid w:val="00621FC6"/>
    <w:rsid w:val="00622D80"/>
    <w:rsid w:val="006234D2"/>
    <w:rsid w:val="006239E7"/>
    <w:rsid w:val="00624D94"/>
    <w:rsid w:val="006253D0"/>
    <w:rsid w:val="00625575"/>
    <w:rsid w:val="00626694"/>
    <w:rsid w:val="00627EF1"/>
    <w:rsid w:val="00630230"/>
    <w:rsid w:val="00635943"/>
    <w:rsid w:val="00635D74"/>
    <w:rsid w:val="00636AFB"/>
    <w:rsid w:val="006379B2"/>
    <w:rsid w:val="00637CD7"/>
    <w:rsid w:val="0064062F"/>
    <w:rsid w:val="006448D7"/>
    <w:rsid w:val="00644DE1"/>
    <w:rsid w:val="00645238"/>
    <w:rsid w:val="00645373"/>
    <w:rsid w:val="00646D76"/>
    <w:rsid w:val="006509F7"/>
    <w:rsid w:val="00653FC7"/>
    <w:rsid w:val="00655386"/>
    <w:rsid w:val="006567BC"/>
    <w:rsid w:val="00656C46"/>
    <w:rsid w:val="00657187"/>
    <w:rsid w:val="006637C9"/>
    <w:rsid w:val="00663E69"/>
    <w:rsid w:val="006646E2"/>
    <w:rsid w:val="006713BC"/>
    <w:rsid w:val="00673620"/>
    <w:rsid w:val="00674EC1"/>
    <w:rsid w:val="006756EE"/>
    <w:rsid w:val="00675EFE"/>
    <w:rsid w:val="00677C4C"/>
    <w:rsid w:val="006816DD"/>
    <w:rsid w:val="00684BFC"/>
    <w:rsid w:val="00684E5E"/>
    <w:rsid w:val="00685325"/>
    <w:rsid w:val="006855A7"/>
    <w:rsid w:val="00685884"/>
    <w:rsid w:val="00685B7B"/>
    <w:rsid w:val="0068613C"/>
    <w:rsid w:val="00686C40"/>
    <w:rsid w:val="006875F9"/>
    <w:rsid w:val="00691685"/>
    <w:rsid w:val="006927E9"/>
    <w:rsid w:val="006928DC"/>
    <w:rsid w:val="00692B2A"/>
    <w:rsid w:val="006934BB"/>
    <w:rsid w:val="00694A4D"/>
    <w:rsid w:val="00694B0F"/>
    <w:rsid w:val="006954D1"/>
    <w:rsid w:val="00695DD9"/>
    <w:rsid w:val="00697C59"/>
    <w:rsid w:val="006A1445"/>
    <w:rsid w:val="006A260C"/>
    <w:rsid w:val="006A6DF0"/>
    <w:rsid w:val="006A798C"/>
    <w:rsid w:val="006B2683"/>
    <w:rsid w:val="006B3D0F"/>
    <w:rsid w:val="006B49CF"/>
    <w:rsid w:val="006B5BEF"/>
    <w:rsid w:val="006B5BFC"/>
    <w:rsid w:val="006B5E54"/>
    <w:rsid w:val="006B6C18"/>
    <w:rsid w:val="006C151C"/>
    <w:rsid w:val="006C1800"/>
    <w:rsid w:val="006C3073"/>
    <w:rsid w:val="006C7617"/>
    <w:rsid w:val="006D02E3"/>
    <w:rsid w:val="006D0931"/>
    <w:rsid w:val="006D104F"/>
    <w:rsid w:val="006D1CFC"/>
    <w:rsid w:val="006D2509"/>
    <w:rsid w:val="006D25AD"/>
    <w:rsid w:val="006D41C5"/>
    <w:rsid w:val="006D45A8"/>
    <w:rsid w:val="006D50A9"/>
    <w:rsid w:val="006D5513"/>
    <w:rsid w:val="006D6095"/>
    <w:rsid w:val="006D6EAE"/>
    <w:rsid w:val="006D7314"/>
    <w:rsid w:val="006D7A90"/>
    <w:rsid w:val="006D7ABA"/>
    <w:rsid w:val="006E2A6B"/>
    <w:rsid w:val="006E2C93"/>
    <w:rsid w:val="006E2F7B"/>
    <w:rsid w:val="006E39A7"/>
    <w:rsid w:val="006E6C37"/>
    <w:rsid w:val="006F01EE"/>
    <w:rsid w:val="006F36C0"/>
    <w:rsid w:val="007001CA"/>
    <w:rsid w:val="007016BD"/>
    <w:rsid w:val="0070223D"/>
    <w:rsid w:val="0070361A"/>
    <w:rsid w:val="00703C95"/>
    <w:rsid w:val="00705877"/>
    <w:rsid w:val="00707BA0"/>
    <w:rsid w:val="007107AE"/>
    <w:rsid w:val="00710DC5"/>
    <w:rsid w:val="007113FD"/>
    <w:rsid w:val="007127B0"/>
    <w:rsid w:val="00712B89"/>
    <w:rsid w:val="00713943"/>
    <w:rsid w:val="00715120"/>
    <w:rsid w:val="007157F1"/>
    <w:rsid w:val="00715CE6"/>
    <w:rsid w:val="00715FC2"/>
    <w:rsid w:val="0071721A"/>
    <w:rsid w:val="007215E9"/>
    <w:rsid w:val="00721AE0"/>
    <w:rsid w:val="00721C7A"/>
    <w:rsid w:val="00722401"/>
    <w:rsid w:val="00722D64"/>
    <w:rsid w:val="00723987"/>
    <w:rsid w:val="0072441A"/>
    <w:rsid w:val="00726A48"/>
    <w:rsid w:val="00727347"/>
    <w:rsid w:val="007308B9"/>
    <w:rsid w:val="007336DA"/>
    <w:rsid w:val="00734F28"/>
    <w:rsid w:val="007358C4"/>
    <w:rsid w:val="00735D34"/>
    <w:rsid w:val="007368F3"/>
    <w:rsid w:val="00736B7E"/>
    <w:rsid w:val="007405B9"/>
    <w:rsid w:val="00741D42"/>
    <w:rsid w:val="00743CFC"/>
    <w:rsid w:val="007462D6"/>
    <w:rsid w:val="00750473"/>
    <w:rsid w:val="007515A7"/>
    <w:rsid w:val="00753461"/>
    <w:rsid w:val="0075647B"/>
    <w:rsid w:val="00760A36"/>
    <w:rsid w:val="00761FF0"/>
    <w:rsid w:val="00763141"/>
    <w:rsid w:val="0076347F"/>
    <w:rsid w:val="00763580"/>
    <w:rsid w:val="00764384"/>
    <w:rsid w:val="00767504"/>
    <w:rsid w:val="00770515"/>
    <w:rsid w:val="00770B92"/>
    <w:rsid w:val="007715D2"/>
    <w:rsid w:val="00771632"/>
    <w:rsid w:val="00773D42"/>
    <w:rsid w:val="00774050"/>
    <w:rsid w:val="00774216"/>
    <w:rsid w:val="00776BD7"/>
    <w:rsid w:val="0077721A"/>
    <w:rsid w:val="00777B7A"/>
    <w:rsid w:val="00780ACD"/>
    <w:rsid w:val="00783192"/>
    <w:rsid w:val="00783D3C"/>
    <w:rsid w:val="00783F2D"/>
    <w:rsid w:val="00784A2E"/>
    <w:rsid w:val="00791143"/>
    <w:rsid w:val="00791251"/>
    <w:rsid w:val="00791E9B"/>
    <w:rsid w:val="00791F8B"/>
    <w:rsid w:val="00793084"/>
    <w:rsid w:val="00794090"/>
    <w:rsid w:val="00794F1E"/>
    <w:rsid w:val="00795598"/>
    <w:rsid w:val="00797336"/>
    <w:rsid w:val="007A0199"/>
    <w:rsid w:val="007A0CAC"/>
    <w:rsid w:val="007A3716"/>
    <w:rsid w:val="007A3F35"/>
    <w:rsid w:val="007B0733"/>
    <w:rsid w:val="007B10E8"/>
    <w:rsid w:val="007B18BA"/>
    <w:rsid w:val="007B4D0E"/>
    <w:rsid w:val="007B520B"/>
    <w:rsid w:val="007C053D"/>
    <w:rsid w:val="007C12A0"/>
    <w:rsid w:val="007C16B1"/>
    <w:rsid w:val="007C196E"/>
    <w:rsid w:val="007C1E46"/>
    <w:rsid w:val="007C2702"/>
    <w:rsid w:val="007C2828"/>
    <w:rsid w:val="007C2919"/>
    <w:rsid w:val="007C48AF"/>
    <w:rsid w:val="007C53F9"/>
    <w:rsid w:val="007C6012"/>
    <w:rsid w:val="007C74FB"/>
    <w:rsid w:val="007C7954"/>
    <w:rsid w:val="007D0C2E"/>
    <w:rsid w:val="007D30B5"/>
    <w:rsid w:val="007D4470"/>
    <w:rsid w:val="007D48FD"/>
    <w:rsid w:val="007D6771"/>
    <w:rsid w:val="007E194D"/>
    <w:rsid w:val="007E196E"/>
    <w:rsid w:val="007E2C0C"/>
    <w:rsid w:val="007E35BF"/>
    <w:rsid w:val="007E4044"/>
    <w:rsid w:val="007E4C40"/>
    <w:rsid w:val="007E4E8B"/>
    <w:rsid w:val="007E528C"/>
    <w:rsid w:val="007E7517"/>
    <w:rsid w:val="007F1C1E"/>
    <w:rsid w:val="007F269F"/>
    <w:rsid w:val="007F3437"/>
    <w:rsid w:val="007F4E89"/>
    <w:rsid w:val="007F660E"/>
    <w:rsid w:val="007F78EF"/>
    <w:rsid w:val="008029F8"/>
    <w:rsid w:val="00806DBB"/>
    <w:rsid w:val="00807B9C"/>
    <w:rsid w:val="0081308D"/>
    <w:rsid w:val="0081473D"/>
    <w:rsid w:val="00814E23"/>
    <w:rsid w:val="00815470"/>
    <w:rsid w:val="00815E0D"/>
    <w:rsid w:val="00817A80"/>
    <w:rsid w:val="008212BE"/>
    <w:rsid w:val="008224E4"/>
    <w:rsid w:val="0082461F"/>
    <w:rsid w:val="0082533A"/>
    <w:rsid w:val="00825F55"/>
    <w:rsid w:val="0082631B"/>
    <w:rsid w:val="00830752"/>
    <w:rsid w:val="00831D08"/>
    <w:rsid w:val="008323EF"/>
    <w:rsid w:val="00832408"/>
    <w:rsid w:val="00835653"/>
    <w:rsid w:val="0083664A"/>
    <w:rsid w:val="0083746C"/>
    <w:rsid w:val="00837FFE"/>
    <w:rsid w:val="0084019B"/>
    <w:rsid w:val="00841E79"/>
    <w:rsid w:val="008424A0"/>
    <w:rsid w:val="008427B7"/>
    <w:rsid w:val="00844D26"/>
    <w:rsid w:val="00844F36"/>
    <w:rsid w:val="00845037"/>
    <w:rsid w:val="0084595A"/>
    <w:rsid w:val="00846501"/>
    <w:rsid w:val="008501C8"/>
    <w:rsid w:val="008513F6"/>
    <w:rsid w:val="008521C4"/>
    <w:rsid w:val="008524B3"/>
    <w:rsid w:val="00852B63"/>
    <w:rsid w:val="00855B05"/>
    <w:rsid w:val="0085607A"/>
    <w:rsid w:val="0085612D"/>
    <w:rsid w:val="00856488"/>
    <w:rsid w:val="0085794A"/>
    <w:rsid w:val="00862F22"/>
    <w:rsid w:val="00863FDF"/>
    <w:rsid w:val="00866ACC"/>
    <w:rsid w:val="00867A28"/>
    <w:rsid w:val="0087085A"/>
    <w:rsid w:val="00871B17"/>
    <w:rsid w:val="00872044"/>
    <w:rsid w:val="00873485"/>
    <w:rsid w:val="00873CD6"/>
    <w:rsid w:val="00873F0F"/>
    <w:rsid w:val="0087664F"/>
    <w:rsid w:val="00877D07"/>
    <w:rsid w:val="0088015F"/>
    <w:rsid w:val="00881A05"/>
    <w:rsid w:val="00882362"/>
    <w:rsid w:val="0088316D"/>
    <w:rsid w:val="008831CC"/>
    <w:rsid w:val="00884FF4"/>
    <w:rsid w:val="00885D9F"/>
    <w:rsid w:val="00886BBB"/>
    <w:rsid w:val="00895011"/>
    <w:rsid w:val="008979E3"/>
    <w:rsid w:val="00897BB1"/>
    <w:rsid w:val="008A0FB1"/>
    <w:rsid w:val="008A3001"/>
    <w:rsid w:val="008A3109"/>
    <w:rsid w:val="008A4CB9"/>
    <w:rsid w:val="008A4D6D"/>
    <w:rsid w:val="008A5963"/>
    <w:rsid w:val="008A7A41"/>
    <w:rsid w:val="008B02D6"/>
    <w:rsid w:val="008B13B8"/>
    <w:rsid w:val="008B5623"/>
    <w:rsid w:val="008B6BBE"/>
    <w:rsid w:val="008B78DA"/>
    <w:rsid w:val="008C0047"/>
    <w:rsid w:val="008C0A66"/>
    <w:rsid w:val="008C0C60"/>
    <w:rsid w:val="008C0F1D"/>
    <w:rsid w:val="008C1DFC"/>
    <w:rsid w:val="008C2707"/>
    <w:rsid w:val="008C51D8"/>
    <w:rsid w:val="008C6131"/>
    <w:rsid w:val="008C6C26"/>
    <w:rsid w:val="008D04FD"/>
    <w:rsid w:val="008D3BA1"/>
    <w:rsid w:val="008D45CC"/>
    <w:rsid w:val="008D4901"/>
    <w:rsid w:val="008D4E62"/>
    <w:rsid w:val="008D532B"/>
    <w:rsid w:val="008D5E4E"/>
    <w:rsid w:val="008E4DA8"/>
    <w:rsid w:val="008E7723"/>
    <w:rsid w:val="008F151C"/>
    <w:rsid w:val="008F5426"/>
    <w:rsid w:val="008F72A8"/>
    <w:rsid w:val="008F792C"/>
    <w:rsid w:val="00900123"/>
    <w:rsid w:val="00901E67"/>
    <w:rsid w:val="00902476"/>
    <w:rsid w:val="0090273E"/>
    <w:rsid w:val="009049B1"/>
    <w:rsid w:val="00905A05"/>
    <w:rsid w:val="00906DE7"/>
    <w:rsid w:val="00911678"/>
    <w:rsid w:val="00915D31"/>
    <w:rsid w:val="00915D5C"/>
    <w:rsid w:val="00915F83"/>
    <w:rsid w:val="00920C25"/>
    <w:rsid w:val="0092447F"/>
    <w:rsid w:val="00926067"/>
    <w:rsid w:val="0093083A"/>
    <w:rsid w:val="00930D41"/>
    <w:rsid w:val="00930F36"/>
    <w:rsid w:val="0093101B"/>
    <w:rsid w:val="00933B22"/>
    <w:rsid w:val="0093759A"/>
    <w:rsid w:val="009421B1"/>
    <w:rsid w:val="00943646"/>
    <w:rsid w:val="009452D4"/>
    <w:rsid w:val="00945414"/>
    <w:rsid w:val="00945639"/>
    <w:rsid w:val="00945E01"/>
    <w:rsid w:val="00947E14"/>
    <w:rsid w:val="009506EC"/>
    <w:rsid w:val="00950D21"/>
    <w:rsid w:val="009529DD"/>
    <w:rsid w:val="00952A10"/>
    <w:rsid w:val="00952B47"/>
    <w:rsid w:val="00953006"/>
    <w:rsid w:val="009541D1"/>
    <w:rsid w:val="009553CC"/>
    <w:rsid w:val="00955608"/>
    <w:rsid w:val="00956584"/>
    <w:rsid w:val="00956B46"/>
    <w:rsid w:val="00957F15"/>
    <w:rsid w:val="00960493"/>
    <w:rsid w:val="009618DB"/>
    <w:rsid w:val="009620A9"/>
    <w:rsid w:val="00962798"/>
    <w:rsid w:val="00964E25"/>
    <w:rsid w:val="00965902"/>
    <w:rsid w:val="0096782B"/>
    <w:rsid w:val="00967CAA"/>
    <w:rsid w:val="00967CCC"/>
    <w:rsid w:val="009716A9"/>
    <w:rsid w:val="009720C0"/>
    <w:rsid w:val="00972872"/>
    <w:rsid w:val="00974237"/>
    <w:rsid w:val="00980818"/>
    <w:rsid w:val="00984426"/>
    <w:rsid w:val="009847F4"/>
    <w:rsid w:val="00986DB0"/>
    <w:rsid w:val="0098763F"/>
    <w:rsid w:val="00990107"/>
    <w:rsid w:val="00990184"/>
    <w:rsid w:val="00991625"/>
    <w:rsid w:val="0099213A"/>
    <w:rsid w:val="009942A5"/>
    <w:rsid w:val="009A0DC3"/>
    <w:rsid w:val="009A167A"/>
    <w:rsid w:val="009A19ED"/>
    <w:rsid w:val="009A1E4D"/>
    <w:rsid w:val="009A1E9D"/>
    <w:rsid w:val="009A38BD"/>
    <w:rsid w:val="009A39A3"/>
    <w:rsid w:val="009A4C58"/>
    <w:rsid w:val="009A4D8B"/>
    <w:rsid w:val="009A5810"/>
    <w:rsid w:val="009A7642"/>
    <w:rsid w:val="009B040B"/>
    <w:rsid w:val="009B1F1E"/>
    <w:rsid w:val="009B1F67"/>
    <w:rsid w:val="009B229D"/>
    <w:rsid w:val="009B570F"/>
    <w:rsid w:val="009B61C5"/>
    <w:rsid w:val="009C08FA"/>
    <w:rsid w:val="009C0CCF"/>
    <w:rsid w:val="009C2625"/>
    <w:rsid w:val="009C5458"/>
    <w:rsid w:val="009D0C56"/>
    <w:rsid w:val="009D0DC4"/>
    <w:rsid w:val="009D0FE7"/>
    <w:rsid w:val="009D22EE"/>
    <w:rsid w:val="009D317D"/>
    <w:rsid w:val="009D32BE"/>
    <w:rsid w:val="009D36AF"/>
    <w:rsid w:val="009D3975"/>
    <w:rsid w:val="009D463A"/>
    <w:rsid w:val="009D4F37"/>
    <w:rsid w:val="009D4F6D"/>
    <w:rsid w:val="009D5040"/>
    <w:rsid w:val="009D54B5"/>
    <w:rsid w:val="009E1B0F"/>
    <w:rsid w:val="009E1CCC"/>
    <w:rsid w:val="009E2B1F"/>
    <w:rsid w:val="009E3F70"/>
    <w:rsid w:val="009E4742"/>
    <w:rsid w:val="009E79B4"/>
    <w:rsid w:val="009F0B64"/>
    <w:rsid w:val="009F3608"/>
    <w:rsid w:val="009F36F4"/>
    <w:rsid w:val="009F375E"/>
    <w:rsid w:val="009F5D72"/>
    <w:rsid w:val="00A00B66"/>
    <w:rsid w:val="00A01401"/>
    <w:rsid w:val="00A01C5C"/>
    <w:rsid w:val="00A026F5"/>
    <w:rsid w:val="00A03246"/>
    <w:rsid w:val="00A04414"/>
    <w:rsid w:val="00A04D3A"/>
    <w:rsid w:val="00A0610F"/>
    <w:rsid w:val="00A07128"/>
    <w:rsid w:val="00A132F8"/>
    <w:rsid w:val="00A14EB9"/>
    <w:rsid w:val="00A14EEA"/>
    <w:rsid w:val="00A15880"/>
    <w:rsid w:val="00A169CE"/>
    <w:rsid w:val="00A16D8C"/>
    <w:rsid w:val="00A1790E"/>
    <w:rsid w:val="00A17A3C"/>
    <w:rsid w:val="00A2226B"/>
    <w:rsid w:val="00A22F08"/>
    <w:rsid w:val="00A2309C"/>
    <w:rsid w:val="00A23BE7"/>
    <w:rsid w:val="00A25755"/>
    <w:rsid w:val="00A26B4D"/>
    <w:rsid w:val="00A2748C"/>
    <w:rsid w:val="00A27A21"/>
    <w:rsid w:val="00A30403"/>
    <w:rsid w:val="00A33B53"/>
    <w:rsid w:val="00A34B70"/>
    <w:rsid w:val="00A35CE5"/>
    <w:rsid w:val="00A37E3F"/>
    <w:rsid w:val="00A41E74"/>
    <w:rsid w:val="00A43451"/>
    <w:rsid w:val="00A45E65"/>
    <w:rsid w:val="00A46ED7"/>
    <w:rsid w:val="00A516BD"/>
    <w:rsid w:val="00A525DF"/>
    <w:rsid w:val="00A53330"/>
    <w:rsid w:val="00A534D0"/>
    <w:rsid w:val="00A53BB1"/>
    <w:rsid w:val="00A55150"/>
    <w:rsid w:val="00A56CED"/>
    <w:rsid w:val="00A6146C"/>
    <w:rsid w:val="00A6347F"/>
    <w:rsid w:val="00A63AF9"/>
    <w:rsid w:val="00A65A50"/>
    <w:rsid w:val="00A65FC9"/>
    <w:rsid w:val="00A67203"/>
    <w:rsid w:val="00A705D7"/>
    <w:rsid w:val="00A706AC"/>
    <w:rsid w:val="00A72325"/>
    <w:rsid w:val="00A72D60"/>
    <w:rsid w:val="00A75584"/>
    <w:rsid w:val="00A76679"/>
    <w:rsid w:val="00A8058B"/>
    <w:rsid w:val="00A817D8"/>
    <w:rsid w:val="00A81FD1"/>
    <w:rsid w:val="00A84162"/>
    <w:rsid w:val="00A860E1"/>
    <w:rsid w:val="00A877B7"/>
    <w:rsid w:val="00A90112"/>
    <w:rsid w:val="00A91030"/>
    <w:rsid w:val="00A92D2F"/>
    <w:rsid w:val="00A969BA"/>
    <w:rsid w:val="00A970EB"/>
    <w:rsid w:val="00AA05E1"/>
    <w:rsid w:val="00AA0C9D"/>
    <w:rsid w:val="00AA2401"/>
    <w:rsid w:val="00AA2E15"/>
    <w:rsid w:val="00AA2FF9"/>
    <w:rsid w:val="00AA5FD7"/>
    <w:rsid w:val="00AA753F"/>
    <w:rsid w:val="00AB0C62"/>
    <w:rsid w:val="00AB3DDA"/>
    <w:rsid w:val="00AB4A24"/>
    <w:rsid w:val="00AB6A40"/>
    <w:rsid w:val="00AC2346"/>
    <w:rsid w:val="00AC2A4C"/>
    <w:rsid w:val="00AC4B0C"/>
    <w:rsid w:val="00AC769B"/>
    <w:rsid w:val="00AD515E"/>
    <w:rsid w:val="00AD5320"/>
    <w:rsid w:val="00AD6157"/>
    <w:rsid w:val="00AD66B4"/>
    <w:rsid w:val="00AE0DC7"/>
    <w:rsid w:val="00AE259D"/>
    <w:rsid w:val="00AE2C5D"/>
    <w:rsid w:val="00AE3F89"/>
    <w:rsid w:val="00AE5B49"/>
    <w:rsid w:val="00AE701D"/>
    <w:rsid w:val="00AF1FB8"/>
    <w:rsid w:val="00AF31D3"/>
    <w:rsid w:val="00AF5453"/>
    <w:rsid w:val="00AF597B"/>
    <w:rsid w:val="00AF7C40"/>
    <w:rsid w:val="00B00837"/>
    <w:rsid w:val="00B028CE"/>
    <w:rsid w:val="00B02AA5"/>
    <w:rsid w:val="00B03E6E"/>
    <w:rsid w:val="00B054C9"/>
    <w:rsid w:val="00B054DD"/>
    <w:rsid w:val="00B064C9"/>
    <w:rsid w:val="00B064FC"/>
    <w:rsid w:val="00B07E2C"/>
    <w:rsid w:val="00B11305"/>
    <w:rsid w:val="00B1195C"/>
    <w:rsid w:val="00B11FAA"/>
    <w:rsid w:val="00B12429"/>
    <w:rsid w:val="00B124B8"/>
    <w:rsid w:val="00B15618"/>
    <w:rsid w:val="00B15B5E"/>
    <w:rsid w:val="00B164DA"/>
    <w:rsid w:val="00B17CAB"/>
    <w:rsid w:val="00B20E1F"/>
    <w:rsid w:val="00B21029"/>
    <w:rsid w:val="00B2232C"/>
    <w:rsid w:val="00B22616"/>
    <w:rsid w:val="00B24DB4"/>
    <w:rsid w:val="00B27EF5"/>
    <w:rsid w:val="00B3060D"/>
    <w:rsid w:val="00B326FA"/>
    <w:rsid w:val="00B33714"/>
    <w:rsid w:val="00B351AD"/>
    <w:rsid w:val="00B35504"/>
    <w:rsid w:val="00B3651D"/>
    <w:rsid w:val="00B41F05"/>
    <w:rsid w:val="00B42242"/>
    <w:rsid w:val="00B42AA5"/>
    <w:rsid w:val="00B42F25"/>
    <w:rsid w:val="00B45253"/>
    <w:rsid w:val="00B452E4"/>
    <w:rsid w:val="00B558FB"/>
    <w:rsid w:val="00B55E4F"/>
    <w:rsid w:val="00B56193"/>
    <w:rsid w:val="00B566D1"/>
    <w:rsid w:val="00B60179"/>
    <w:rsid w:val="00B60271"/>
    <w:rsid w:val="00B61148"/>
    <w:rsid w:val="00B62619"/>
    <w:rsid w:val="00B6425D"/>
    <w:rsid w:val="00B6474D"/>
    <w:rsid w:val="00B64C5C"/>
    <w:rsid w:val="00B65D27"/>
    <w:rsid w:val="00B67FA7"/>
    <w:rsid w:val="00B711E1"/>
    <w:rsid w:val="00B76400"/>
    <w:rsid w:val="00B80695"/>
    <w:rsid w:val="00B81899"/>
    <w:rsid w:val="00B82074"/>
    <w:rsid w:val="00B843E8"/>
    <w:rsid w:val="00B85B2B"/>
    <w:rsid w:val="00B85F81"/>
    <w:rsid w:val="00B90749"/>
    <w:rsid w:val="00B90972"/>
    <w:rsid w:val="00B92690"/>
    <w:rsid w:val="00B9350E"/>
    <w:rsid w:val="00B93623"/>
    <w:rsid w:val="00B95D17"/>
    <w:rsid w:val="00B97EDA"/>
    <w:rsid w:val="00BA4C2B"/>
    <w:rsid w:val="00BA4D3C"/>
    <w:rsid w:val="00BA7726"/>
    <w:rsid w:val="00BA77B4"/>
    <w:rsid w:val="00BB0D88"/>
    <w:rsid w:val="00BB1A4F"/>
    <w:rsid w:val="00BB4139"/>
    <w:rsid w:val="00BB5E23"/>
    <w:rsid w:val="00BC3589"/>
    <w:rsid w:val="00BC3D6B"/>
    <w:rsid w:val="00BC6D96"/>
    <w:rsid w:val="00BD162C"/>
    <w:rsid w:val="00BD2055"/>
    <w:rsid w:val="00BD25CB"/>
    <w:rsid w:val="00BD3874"/>
    <w:rsid w:val="00BD4017"/>
    <w:rsid w:val="00BD5044"/>
    <w:rsid w:val="00BD6D10"/>
    <w:rsid w:val="00BD7894"/>
    <w:rsid w:val="00BE3256"/>
    <w:rsid w:val="00BE4372"/>
    <w:rsid w:val="00BE503E"/>
    <w:rsid w:val="00BE57A3"/>
    <w:rsid w:val="00BE6BA8"/>
    <w:rsid w:val="00BF21D5"/>
    <w:rsid w:val="00BF2DE2"/>
    <w:rsid w:val="00BF3AF0"/>
    <w:rsid w:val="00BF3CA0"/>
    <w:rsid w:val="00BF4A03"/>
    <w:rsid w:val="00BF4E19"/>
    <w:rsid w:val="00BF5000"/>
    <w:rsid w:val="00BF6BAB"/>
    <w:rsid w:val="00BF72D1"/>
    <w:rsid w:val="00C025DB"/>
    <w:rsid w:val="00C043BC"/>
    <w:rsid w:val="00C0487F"/>
    <w:rsid w:val="00C05696"/>
    <w:rsid w:val="00C07031"/>
    <w:rsid w:val="00C10680"/>
    <w:rsid w:val="00C1109F"/>
    <w:rsid w:val="00C13CE3"/>
    <w:rsid w:val="00C217FF"/>
    <w:rsid w:val="00C305C6"/>
    <w:rsid w:val="00C325F1"/>
    <w:rsid w:val="00C34CF9"/>
    <w:rsid w:val="00C4153C"/>
    <w:rsid w:val="00C4305E"/>
    <w:rsid w:val="00C435F3"/>
    <w:rsid w:val="00C44546"/>
    <w:rsid w:val="00C449ED"/>
    <w:rsid w:val="00C4794B"/>
    <w:rsid w:val="00C47C40"/>
    <w:rsid w:val="00C47E2C"/>
    <w:rsid w:val="00C50761"/>
    <w:rsid w:val="00C50767"/>
    <w:rsid w:val="00C51E63"/>
    <w:rsid w:val="00C53905"/>
    <w:rsid w:val="00C55FFA"/>
    <w:rsid w:val="00C566A5"/>
    <w:rsid w:val="00C601A8"/>
    <w:rsid w:val="00C6414B"/>
    <w:rsid w:val="00C64222"/>
    <w:rsid w:val="00C6602E"/>
    <w:rsid w:val="00C67C39"/>
    <w:rsid w:val="00C67EA4"/>
    <w:rsid w:val="00C70DCC"/>
    <w:rsid w:val="00C72FA9"/>
    <w:rsid w:val="00C7482C"/>
    <w:rsid w:val="00C7728C"/>
    <w:rsid w:val="00C77476"/>
    <w:rsid w:val="00C80440"/>
    <w:rsid w:val="00C804B6"/>
    <w:rsid w:val="00C817C9"/>
    <w:rsid w:val="00C81E11"/>
    <w:rsid w:val="00C83D55"/>
    <w:rsid w:val="00C846C6"/>
    <w:rsid w:val="00C8740E"/>
    <w:rsid w:val="00C93127"/>
    <w:rsid w:val="00C9420F"/>
    <w:rsid w:val="00C94C39"/>
    <w:rsid w:val="00C97DD1"/>
    <w:rsid w:val="00CA0D53"/>
    <w:rsid w:val="00CA2E2D"/>
    <w:rsid w:val="00CA45B7"/>
    <w:rsid w:val="00CA4610"/>
    <w:rsid w:val="00CA6500"/>
    <w:rsid w:val="00CA70DF"/>
    <w:rsid w:val="00CA7664"/>
    <w:rsid w:val="00CA7B10"/>
    <w:rsid w:val="00CB3267"/>
    <w:rsid w:val="00CB33D5"/>
    <w:rsid w:val="00CB6F17"/>
    <w:rsid w:val="00CC0026"/>
    <w:rsid w:val="00CC0AE3"/>
    <w:rsid w:val="00CC1897"/>
    <w:rsid w:val="00CC2017"/>
    <w:rsid w:val="00CC20E7"/>
    <w:rsid w:val="00CC2D33"/>
    <w:rsid w:val="00CC3063"/>
    <w:rsid w:val="00CC45D0"/>
    <w:rsid w:val="00CD1952"/>
    <w:rsid w:val="00CD287D"/>
    <w:rsid w:val="00CD3C4B"/>
    <w:rsid w:val="00CD6F1F"/>
    <w:rsid w:val="00CE0C78"/>
    <w:rsid w:val="00CE13BF"/>
    <w:rsid w:val="00CE326F"/>
    <w:rsid w:val="00CE45CE"/>
    <w:rsid w:val="00CE53EB"/>
    <w:rsid w:val="00CE6ACD"/>
    <w:rsid w:val="00CF086A"/>
    <w:rsid w:val="00CF13D6"/>
    <w:rsid w:val="00CF4914"/>
    <w:rsid w:val="00CF61DA"/>
    <w:rsid w:val="00CF71CF"/>
    <w:rsid w:val="00CF7C1D"/>
    <w:rsid w:val="00D01D80"/>
    <w:rsid w:val="00D04850"/>
    <w:rsid w:val="00D05E0D"/>
    <w:rsid w:val="00D0645A"/>
    <w:rsid w:val="00D07437"/>
    <w:rsid w:val="00D149EC"/>
    <w:rsid w:val="00D14FAE"/>
    <w:rsid w:val="00D16204"/>
    <w:rsid w:val="00D16535"/>
    <w:rsid w:val="00D1672B"/>
    <w:rsid w:val="00D16F60"/>
    <w:rsid w:val="00D20EAF"/>
    <w:rsid w:val="00D21B2A"/>
    <w:rsid w:val="00D22780"/>
    <w:rsid w:val="00D23381"/>
    <w:rsid w:val="00D2416A"/>
    <w:rsid w:val="00D24A3C"/>
    <w:rsid w:val="00D316FC"/>
    <w:rsid w:val="00D31C71"/>
    <w:rsid w:val="00D3265E"/>
    <w:rsid w:val="00D33D15"/>
    <w:rsid w:val="00D33F0F"/>
    <w:rsid w:val="00D34A6B"/>
    <w:rsid w:val="00D34E15"/>
    <w:rsid w:val="00D36C49"/>
    <w:rsid w:val="00D36C5C"/>
    <w:rsid w:val="00D37D64"/>
    <w:rsid w:val="00D41A4F"/>
    <w:rsid w:val="00D41EDB"/>
    <w:rsid w:val="00D42240"/>
    <w:rsid w:val="00D427B7"/>
    <w:rsid w:val="00D42B6F"/>
    <w:rsid w:val="00D42CF3"/>
    <w:rsid w:val="00D47412"/>
    <w:rsid w:val="00D50AAC"/>
    <w:rsid w:val="00D50BF9"/>
    <w:rsid w:val="00D50EEC"/>
    <w:rsid w:val="00D51BEE"/>
    <w:rsid w:val="00D52490"/>
    <w:rsid w:val="00D54265"/>
    <w:rsid w:val="00D55484"/>
    <w:rsid w:val="00D55815"/>
    <w:rsid w:val="00D573C5"/>
    <w:rsid w:val="00D61B6A"/>
    <w:rsid w:val="00D61BBC"/>
    <w:rsid w:val="00D70176"/>
    <w:rsid w:val="00D705F5"/>
    <w:rsid w:val="00D70916"/>
    <w:rsid w:val="00D728E0"/>
    <w:rsid w:val="00D72D89"/>
    <w:rsid w:val="00D73447"/>
    <w:rsid w:val="00D74023"/>
    <w:rsid w:val="00D74025"/>
    <w:rsid w:val="00D74B4E"/>
    <w:rsid w:val="00D7702B"/>
    <w:rsid w:val="00D80458"/>
    <w:rsid w:val="00D827A5"/>
    <w:rsid w:val="00D829A3"/>
    <w:rsid w:val="00D83B5E"/>
    <w:rsid w:val="00D84FA2"/>
    <w:rsid w:val="00D85C2F"/>
    <w:rsid w:val="00D86036"/>
    <w:rsid w:val="00D90D43"/>
    <w:rsid w:val="00D9144F"/>
    <w:rsid w:val="00D91A37"/>
    <w:rsid w:val="00D91EC4"/>
    <w:rsid w:val="00D92C13"/>
    <w:rsid w:val="00D94664"/>
    <w:rsid w:val="00D94E65"/>
    <w:rsid w:val="00DA0B2C"/>
    <w:rsid w:val="00DA0E65"/>
    <w:rsid w:val="00DA3F29"/>
    <w:rsid w:val="00DA4EF0"/>
    <w:rsid w:val="00DB2353"/>
    <w:rsid w:val="00DB59FC"/>
    <w:rsid w:val="00DB612F"/>
    <w:rsid w:val="00DB68D9"/>
    <w:rsid w:val="00DB6905"/>
    <w:rsid w:val="00DB7485"/>
    <w:rsid w:val="00DB7FF4"/>
    <w:rsid w:val="00DC0446"/>
    <w:rsid w:val="00DC0FC0"/>
    <w:rsid w:val="00DC1BB9"/>
    <w:rsid w:val="00DC1DDF"/>
    <w:rsid w:val="00DC24BC"/>
    <w:rsid w:val="00DC292B"/>
    <w:rsid w:val="00DC2C11"/>
    <w:rsid w:val="00DC467F"/>
    <w:rsid w:val="00DC5788"/>
    <w:rsid w:val="00DC709F"/>
    <w:rsid w:val="00DC7E43"/>
    <w:rsid w:val="00DC7F54"/>
    <w:rsid w:val="00DD0879"/>
    <w:rsid w:val="00DD0A86"/>
    <w:rsid w:val="00DD22E8"/>
    <w:rsid w:val="00DD452B"/>
    <w:rsid w:val="00DD6553"/>
    <w:rsid w:val="00DE315F"/>
    <w:rsid w:val="00DE4475"/>
    <w:rsid w:val="00DE530B"/>
    <w:rsid w:val="00DF0D4A"/>
    <w:rsid w:val="00DF10C3"/>
    <w:rsid w:val="00DF1761"/>
    <w:rsid w:val="00DF3BAC"/>
    <w:rsid w:val="00DF3F64"/>
    <w:rsid w:val="00DF3F98"/>
    <w:rsid w:val="00DF4359"/>
    <w:rsid w:val="00DF6781"/>
    <w:rsid w:val="00DF69DF"/>
    <w:rsid w:val="00E00054"/>
    <w:rsid w:val="00E00688"/>
    <w:rsid w:val="00E00B01"/>
    <w:rsid w:val="00E02CA0"/>
    <w:rsid w:val="00E039DB"/>
    <w:rsid w:val="00E04D8D"/>
    <w:rsid w:val="00E04DB8"/>
    <w:rsid w:val="00E0668A"/>
    <w:rsid w:val="00E07C7E"/>
    <w:rsid w:val="00E10D4B"/>
    <w:rsid w:val="00E128AA"/>
    <w:rsid w:val="00E16672"/>
    <w:rsid w:val="00E207E6"/>
    <w:rsid w:val="00E21269"/>
    <w:rsid w:val="00E2224C"/>
    <w:rsid w:val="00E2381A"/>
    <w:rsid w:val="00E250F9"/>
    <w:rsid w:val="00E25186"/>
    <w:rsid w:val="00E255E8"/>
    <w:rsid w:val="00E3090A"/>
    <w:rsid w:val="00E30A8A"/>
    <w:rsid w:val="00E31676"/>
    <w:rsid w:val="00E32D13"/>
    <w:rsid w:val="00E34BE4"/>
    <w:rsid w:val="00E3586F"/>
    <w:rsid w:val="00E35971"/>
    <w:rsid w:val="00E36410"/>
    <w:rsid w:val="00E36FD3"/>
    <w:rsid w:val="00E40405"/>
    <w:rsid w:val="00E4069D"/>
    <w:rsid w:val="00E41450"/>
    <w:rsid w:val="00E42B04"/>
    <w:rsid w:val="00E43558"/>
    <w:rsid w:val="00E44037"/>
    <w:rsid w:val="00E44936"/>
    <w:rsid w:val="00E47F76"/>
    <w:rsid w:val="00E50477"/>
    <w:rsid w:val="00E5064B"/>
    <w:rsid w:val="00E50E30"/>
    <w:rsid w:val="00E5151C"/>
    <w:rsid w:val="00E52CB0"/>
    <w:rsid w:val="00E563FC"/>
    <w:rsid w:val="00E572F2"/>
    <w:rsid w:val="00E57F36"/>
    <w:rsid w:val="00E614B3"/>
    <w:rsid w:val="00E62D74"/>
    <w:rsid w:val="00E65FB5"/>
    <w:rsid w:val="00E660E8"/>
    <w:rsid w:val="00E661AA"/>
    <w:rsid w:val="00E66EA5"/>
    <w:rsid w:val="00E70E45"/>
    <w:rsid w:val="00E72B6E"/>
    <w:rsid w:val="00E7456F"/>
    <w:rsid w:val="00E77928"/>
    <w:rsid w:val="00E807E7"/>
    <w:rsid w:val="00E8265D"/>
    <w:rsid w:val="00E82795"/>
    <w:rsid w:val="00E828DC"/>
    <w:rsid w:val="00E84369"/>
    <w:rsid w:val="00E90601"/>
    <w:rsid w:val="00E90999"/>
    <w:rsid w:val="00E90CE6"/>
    <w:rsid w:val="00E912A6"/>
    <w:rsid w:val="00E9257F"/>
    <w:rsid w:val="00E92C46"/>
    <w:rsid w:val="00E947E4"/>
    <w:rsid w:val="00E96498"/>
    <w:rsid w:val="00E96C2C"/>
    <w:rsid w:val="00EA136B"/>
    <w:rsid w:val="00EA2249"/>
    <w:rsid w:val="00EA2E4F"/>
    <w:rsid w:val="00EA44ED"/>
    <w:rsid w:val="00EA7500"/>
    <w:rsid w:val="00EA77E3"/>
    <w:rsid w:val="00EB1FEB"/>
    <w:rsid w:val="00EB39EE"/>
    <w:rsid w:val="00EB7AD0"/>
    <w:rsid w:val="00EC009B"/>
    <w:rsid w:val="00EC129F"/>
    <w:rsid w:val="00EC25D1"/>
    <w:rsid w:val="00EC3E8B"/>
    <w:rsid w:val="00EC4342"/>
    <w:rsid w:val="00EC6936"/>
    <w:rsid w:val="00EC77F2"/>
    <w:rsid w:val="00ED0C42"/>
    <w:rsid w:val="00ED1367"/>
    <w:rsid w:val="00ED15BF"/>
    <w:rsid w:val="00ED332B"/>
    <w:rsid w:val="00ED5421"/>
    <w:rsid w:val="00ED5F4D"/>
    <w:rsid w:val="00EE24C0"/>
    <w:rsid w:val="00EE44C8"/>
    <w:rsid w:val="00EE5405"/>
    <w:rsid w:val="00EF036D"/>
    <w:rsid w:val="00EF04ED"/>
    <w:rsid w:val="00EF2FF4"/>
    <w:rsid w:val="00EF3050"/>
    <w:rsid w:val="00EF3D75"/>
    <w:rsid w:val="00EF43FD"/>
    <w:rsid w:val="00F0080E"/>
    <w:rsid w:val="00F010D8"/>
    <w:rsid w:val="00F03345"/>
    <w:rsid w:val="00F07236"/>
    <w:rsid w:val="00F079C4"/>
    <w:rsid w:val="00F114D7"/>
    <w:rsid w:val="00F1269D"/>
    <w:rsid w:val="00F14C31"/>
    <w:rsid w:val="00F16338"/>
    <w:rsid w:val="00F16D1C"/>
    <w:rsid w:val="00F211C3"/>
    <w:rsid w:val="00F2192E"/>
    <w:rsid w:val="00F219AF"/>
    <w:rsid w:val="00F21E6C"/>
    <w:rsid w:val="00F266E7"/>
    <w:rsid w:val="00F307AA"/>
    <w:rsid w:val="00F30C4B"/>
    <w:rsid w:val="00F31680"/>
    <w:rsid w:val="00F3180C"/>
    <w:rsid w:val="00F3180E"/>
    <w:rsid w:val="00F339D1"/>
    <w:rsid w:val="00F35E33"/>
    <w:rsid w:val="00F36948"/>
    <w:rsid w:val="00F36B18"/>
    <w:rsid w:val="00F37315"/>
    <w:rsid w:val="00F407DB"/>
    <w:rsid w:val="00F41292"/>
    <w:rsid w:val="00F41E2B"/>
    <w:rsid w:val="00F4509D"/>
    <w:rsid w:val="00F4789F"/>
    <w:rsid w:val="00F50DD0"/>
    <w:rsid w:val="00F510CE"/>
    <w:rsid w:val="00F519AF"/>
    <w:rsid w:val="00F525DF"/>
    <w:rsid w:val="00F53E16"/>
    <w:rsid w:val="00F54ADF"/>
    <w:rsid w:val="00F551CE"/>
    <w:rsid w:val="00F55B77"/>
    <w:rsid w:val="00F5609C"/>
    <w:rsid w:val="00F5750B"/>
    <w:rsid w:val="00F6080B"/>
    <w:rsid w:val="00F613EB"/>
    <w:rsid w:val="00F617B6"/>
    <w:rsid w:val="00F61D9D"/>
    <w:rsid w:val="00F620A3"/>
    <w:rsid w:val="00F62558"/>
    <w:rsid w:val="00F62C64"/>
    <w:rsid w:val="00F65CC9"/>
    <w:rsid w:val="00F65F1F"/>
    <w:rsid w:val="00F67D3C"/>
    <w:rsid w:val="00F7164A"/>
    <w:rsid w:val="00F71971"/>
    <w:rsid w:val="00F74436"/>
    <w:rsid w:val="00F75BF3"/>
    <w:rsid w:val="00F76B20"/>
    <w:rsid w:val="00F80152"/>
    <w:rsid w:val="00F8059D"/>
    <w:rsid w:val="00F80FB7"/>
    <w:rsid w:val="00F81ABB"/>
    <w:rsid w:val="00F82E94"/>
    <w:rsid w:val="00F852A9"/>
    <w:rsid w:val="00F86C7A"/>
    <w:rsid w:val="00F91BBD"/>
    <w:rsid w:val="00F91FBB"/>
    <w:rsid w:val="00F94545"/>
    <w:rsid w:val="00F94776"/>
    <w:rsid w:val="00F94C4D"/>
    <w:rsid w:val="00FA1FDC"/>
    <w:rsid w:val="00FA2E85"/>
    <w:rsid w:val="00FA3CFC"/>
    <w:rsid w:val="00FA53E1"/>
    <w:rsid w:val="00FA56BB"/>
    <w:rsid w:val="00FA6FC1"/>
    <w:rsid w:val="00FA7D13"/>
    <w:rsid w:val="00FB0A03"/>
    <w:rsid w:val="00FB0AA9"/>
    <w:rsid w:val="00FB16BB"/>
    <w:rsid w:val="00FB1984"/>
    <w:rsid w:val="00FB1E99"/>
    <w:rsid w:val="00FB2C70"/>
    <w:rsid w:val="00FB3FC3"/>
    <w:rsid w:val="00FB411C"/>
    <w:rsid w:val="00FB7148"/>
    <w:rsid w:val="00FC39CA"/>
    <w:rsid w:val="00FC4A84"/>
    <w:rsid w:val="00FC4CA7"/>
    <w:rsid w:val="00FC6137"/>
    <w:rsid w:val="00FC681A"/>
    <w:rsid w:val="00FD07F8"/>
    <w:rsid w:val="00FD09F1"/>
    <w:rsid w:val="00FD4103"/>
    <w:rsid w:val="00FD4240"/>
    <w:rsid w:val="00FD48F2"/>
    <w:rsid w:val="00FD49F3"/>
    <w:rsid w:val="00FD5F80"/>
    <w:rsid w:val="00FD6D17"/>
    <w:rsid w:val="00FE08D3"/>
    <w:rsid w:val="00FE0C49"/>
    <w:rsid w:val="00FE4B41"/>
    <w:rsid w:val="00FF0F9F"/>
    <w:rsid w:val="00FF16DC"/>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8">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B1Zchn">
    <w:name w:val="B1 Zchn"/>
    <w:rsid w:val="00953006"/>
    <w:rPr>
      <w:lang w:eastAsia="en-US"/>
    </w:rPr>
  </w:style>
  <w:style w:type="character" w:customStyle="1" w:styleId="TALChar">
    <w:name w:val="TAL Char"/>
    <w:link w:val="TAL"/>
    <w:rsid w:val="00953006"/>
    <w:rPr>
      <w:rFonts w:ascii="Arial" w:eastAsiaTheme="minorEastAsia" w:hAnsi="Arial"/>
      <w:sz w:val="18"/>
      <w:lang w:val="en-GB" w:eastAsia="en-US"/>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9">
    <w:name w:val="Strong"/>
    <w:basedOn w:val="a1"/>
    <w:qFormat/>
    <w:rsid w:val="00EB1FEB"/>
    <w:rPr>
      <w:b/>
      <w:bCs/>
    </w:rPr>
  </w:style>
  <w:style w:type="paragraph" w:styleId="afa">
    <w:name w:val="Subtitle"/>
    <w:basedOn w:val="a"/>
    <w:next w:val="a"/>
    <w:link w:val="Char4"/>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4">
    <w:name w:val="副标题 Char"/>
    <w:basedOn w:val="a1"/>
    <w:link w:val="afa"/>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B2Char">
    <w:name w:val="B2 Char"/>
    <w:link w:val="B2"/>
    <w:qFormat/>
    <w:rsid w:val="0083746C"/>
    <w:rPr>
      <w:rFonts w:eastAsia="Times New Roman"/>
      <w:lang w:val="en-GB" w:eastAsia="en-GB"/>
    </w:rPr>
  </w:style>
  <w:style w:type="paragraph" w:customStyle="1" w:styleId="maintext">
    <w:name w:val="main text"/>
    <w:basedOn w:val="a"/>
    <w:link w:val="maintextChar"/>
    <w:qFormat/>
    <w:rsid w:val="00000DA0"/>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000DA0"/>
    <w:rPr>
      <w:rFonts w:eastAsia="Malgun Gothic"/>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28604300">
      <w:bodyDiv w:val="1"/>
      <w:marLeft w:val="0"/>
      <w:marRight w:val="0"/>
      <w:marTop w:val="0"/>
      <w:marBottom w:val="0"/>
      <w:divBdr>
        <w:top w:val="none" w:sz="0" w:space="0" w:color="auto"/>
        <w:left w:val="none" w:sz="0" w:space="0" w:color="auto"/>
        <w:bottom w:val="none" w:sz="0" w:space="0" w:color="auto"/>
        <w:right w:val="none" w:sz="0" w:space="0" w:color="auto"/>
      </w:divBdr>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535627756">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58549984">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17277470">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008A1-DEC1-484B-A8F2-B7914D74E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991</Words>
  <Characters>5654</Characters>
  <Application>Microsoft Office Word</Application>
  <DocSecurity>0</DocSecurity>
  <Lines>47</Lines>
  <Paragraphs>13</Paragraphs>
  <ScaleCrop>false</ScaleCrop>
  <Company>vivo mobile communication co.</Company>
  <LinksUpToDate>false</LinksUpToDate>
  <CharactersWithSpaces>6632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沈晓冬</cp:lastModifiedBy>
  <cp:revision>2</cp:revision>
  <cp:lastPrinted>2008-12-09T03:19:00Z</cp:lastPrinted>
  <dcterms:created xsi:type="dcterms:W3CDTF">2019-03-29T02:35:00Z</dcterms:created>
  <dcterms:modified xsi:type="dcterms:W3CDTF">2019-03-29T02:35:00Z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